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9214D7" w14:paraId="31B40C62" w14:textId="77777777" w:rsidTr="0096135C">
        <w:trPr>
          <w:trHeight w:val="1036"/>
        </w:trPr>
        <w:tc>
          <w:tcPr>
            <w:tcW w:w="7054" w:type="dxa"/>
            <w:gridSpan w:val="2"/>
            <w:shd w:val="clear" w:color="auto" w:fill="31849B"/>
          </w:tcPr>
          <w:p w14:paraId="5477992D" w14:textId="77777777" w:rsidR="00B621B8" w:rsidRPr="009214D7" w:rsidRDefault="0096135C" w:rsidP="00E15113">
            <w:pPr>
              <w:pStyle w:val="CTSCoBodytext"/>
              <w:spacing w:before="120" w:line="276" w:lineRule="auto"/>
              <w:jc w:val="both"/>
              <w:rPr>
                <w:rFonts w:ascii="Arial" w:hAnsi="Arial" w:cs="Arial"/>
              </w:rPr>
            </w:pPr>
            <w:r w:rsidRPr="009214D7">
              <w:rPr>
                <w:rFonts w:ascii="Arial" w:hAnsi="Arial" w:cs="Arial"/>
                <w:color w:val="FFFFFF"/>
              </w:rPr>
              <w:t xml:space="preserve">Title: </w:t>
            </w:r>
            <w:r w:rsidR="00B621B8" w:rsidRPr="009214D7">
              <w:rPr>
                <w:rFonts w:ascii="Arial" w:hAnsi="Arial" w:cs="Arial"/>
                <w:color w:val="FFFFFF" w:themeColor="background1"/>
              </w:rPr>
              <w:t>Regional Hydrogeology of the southern Surat Basin</w:t>
            </w:r>
          </w:p>
          <w:p w14:paraId="505F9C12" w14:textId="1E917103"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Project Leader: </w:t>
            </w:r>
          </w:p>
        </w:tc>
        <w:tc>
          <w:tcPr>
            <w:tcW w:w="3544" w:type="dxa"/>
            <w:shd w:val="clear" w:color="auto" w:fill="31849B"/>
          </w:tcPr>
          <w:p w14:paraId="7EF34A0F" w14:textId="77777777"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Demonstration Project: </w:t>
            </w:r>
          </w:p>
          <w:p w14:paraId="566D1463" w14:textId="0F34F26F" w:rsidR="0096135C" w:rsidRPr="009214D7" w:rsidRDefault="00AC50A9" w:rsidP="00E15113">
            <w:pPr>
              <w:spacing w:before="120" w:after="80"/>
              <w:jc w:val="both"/>
              <w:rPr>
                <w:rFonts w:ascii="Arial" w:hAnsi="Arial" w:cs="Arial"/>
                <w:color w:val="FFFFFF"/>
              </w:rPr>
            </w:pPr>
            <w:r w:rsidRPr="009214D7">
              <w:rPr>
                <w:rFonts w:ascii="Arial" w:hAnsi="Arial" w:cs="Arial"/>
                <w:color w:val="FFFFFF"/>
              </w:rPr>
              <w:t>Surat CCS</w:t>
            </w:r>
          </w:p>
        </w:tc>
      </w:tr>
      <w:tr w:rsidR="0096135C" w:rsidRPr="009214D7" w14:paraId="07054E16" w14:textId="77777777" w:rsidTr="0096135C">
        <w:tblPrEx>
          <w:shd w:val="clear" w:color="auto" w:fill="FABF8F"/>
        </w:tblPrEx>
        <w:tc>
          <w:tcPr>
            <w:tcW w:w="3227" w:type="dxa"/>
            <w:shd w:val="clear" w:color="auto" w:fill="31849B"/>
          </w:tcPr>
          <w:p w14:paraId="634BCD16" w14:textId="7D454531"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Project Number: </w:t>
            </w:r>
          </w:p>
          <w:p w14:paraId="6E07BBC0" w14:textId="17CDEE63"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Status: Under Development</w:t>
            </w:r>
          </w:p>
        </w:tc>
        <w:tc>
          <w:tcPr>
            <w:tcW w:w="3827" w:type="dxa"/>
            <w:shd w:val="clear" w:color="auto" w:fill="31849B"/>
          </w:tcPr>
          <w:p w14:paraId="39BAB122" w14:textId="720EED33"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Commencement: </w:t>
            </w:r>
            <w:r w:rsidR="00AC50A9" w:rsidRPr="009214D7">
              <w:rPr>
                <w:rFonts w:ascii="Arial" w:hAnsi="Arial" w:cs="Arial"/>
                <w:color w:val="FFFFFF"/>
              </w:rPr>
              <w:t>2018</w:t>
            </w:r>
          </w:p>
          <w:p w14:paraId="4A2A2CE8" w14:textId="41AEA946"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Completion: </w:t>
            </w:r>
          </w:p>
        </w:tc>
        <w:tc>
          <w:tcPr>
            <w:tcW w:w="3544" w:type="dxa"/>
            <w:shd w:val="clear" w:color="auto" w:fill="31849B"/>
          </w:tcPr>
          <w:p w14:paraId="201D54AE" w14:textId="77777777" w:rsidR="00AC50A9"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Total Budget: </w:t>
            </w:r>
          </w:p>
          <w:p w14:paraId="41196A06" w14:textId="2046660A" w:rsidR="0096135C" w:rsidRPr="009214D7" w:rsidRDefault="0096135C" w:rsidP="00E15113">
            <w:pPr>
              <w:spacing w:before="120" w:after="80"/>
              <w:jc w:val="both"/>
              <w:rPr>
                <w:rFonts w:ascii="Arial" w:hAnsi="Arial" w:cs="Arial"/>
                <w:color w:val="FFFFFF"/>
              </w:rPr>
            </w:pPr>
            <w:r w:rsidRPr="009214D7">
              <w:rPr>
                <w:rFonts w:ascii="Arial" w:hAnsi="Arial" w:cs="Arial"/>
                <w:color w:val="FFFFFF"/>
              </w:rPr>
              <w:t xml:space="preserve">ANLEC R&amp;D Contribution: </w:t>
            </w:r>
          </w:p>
        </w:tc>
      </w:tr>
    </w:tbl>
    <w:p w14:paraId="719156AA" w14:textId="77777777" w:rsidR="0096135C" w:rsidRPr="009214D7" w:rsidRDefault="0096135C" w:rsidP="00E15113">
      <w:pPr>
        <w:spacing w:before="120" w:after="80"/>
        <w:jc w:val="both"/>
        <w:rPr>
          <w:rFonts w:ascii="Arial" w:hAnsi="Arial" w:cs="Arial"/>
          <w:b/>
          <w:i/>
          <w:color w:val="31849B"/>
        </w:rPr>
      </w:pPr>
      <w:r w:rsidRPr="009214D7">
        <w:rPr>
          <w:rFonts w:ascii="Arial" w:hAnsi="Arial" w:cs="Arial"/>
          <w:b/>
          <w:i/>
          <w:color w:val="31849B"/>
        </w:rPr>
        <w:t>The Context</w:t>
      </w:r>
    </w:p>
    <w:p w14:paraId="4B493DC3" w14:textId="2079AFA1" w:rsidR="00B9468F" w:rsidRPr="00E15113" w:rsidRDefault="009214D7" w:rsidP="00E15113">
      <w:pPr>
        <w:pStyle w:val="CTSCoBodytext"/>
        <w:spacing w:before="120" w:line="276" w:lineRule="auto"/>
        <w:jc w:val="both"/>
        <w:rPr>
          <w:rFonts w:ascii="Arial" w:hAnsi="Arial" w:cs="Arial"/>
        </w:rPr>
      </w:pPr>
      <w:r>
        <w:rPr>
          <w:rFonts w:ascii="Arial" w:hAnsi="Arial" w:cs="Arial"/>
        </w:rPr>
        <w:t>CTSCo</w:t>
      </w:r>
      <w:r w:rsidRPr="000B7D67">
        <w:rPr>
          <w:rFonts w:ascii="Arial" w:hAnsi="Arial" w:cs="Arial"/>
        </w:rPr>
        <w:t xml:space="preserve"> wishes to understand the options for maximising the efficiency of access to available storage porespace within a southern Surat storage complex.</w:t>
      </w:r>
      <w:r>
        <w:rPr>
          <w:rFonts w:ascii="Arial" w:hAnsi="Arial" w:cs="Arial"/>
        </w:rPr>
        <w:t xml:space="preserve"> </w:t>
      </w:r>
      <w:r w:rsidRPr="000B7D67">
        <w:rPr>
          <w:rFonts w:ascii="Arial" w:hAnsi="Arial" w:cs="Arial"/>
        </w:rPr>
        <w:t>A key requirement will be to monitor and verify the vertical extent of the CO</w:t>
      </w:r>
      <w:r w:rsidRPr="000B7D67">
        <w:rPr>
          <w:rFonts w:ascii="Arial" w:hAnsi="Arial" w:cs="Arial"/>
          <w:vertAlign w:val="subscript"/>
        </w:rPr>
        <w:t>2</w:t>
      </w:r>
      <w:r w:rsidRPr="000B7D67">
        <w:rPr>
          <w:rFonts w:ascii="Arial" w:hAnsi="Arial" w:cs="Arial"/>
        </w:rPr>
        <w:t xml:space="preserve"> plumes and their physical/chemical attributes in the M&amp;V wells.</w:t>
      </w:r>
      <w:r w:rsidR="00E15113">
        <w:rPr>
          <w:rFonts w:ascii="Arial" w:hAnsi="Arial" w:cs="Arial"/>
        </w:rPr>
        <w:t xml:space="preserve"> This specific project analyse </w:t>
      </w:r>
      <w:r w:rsidR="00E15113" w:rsidRPr="009214D7">
        <w:rPr>
          <w:rFonts w:ascii="Arial" w:hAnsi="Arial" w:cs="Arial"/>
        </w:rPr>
        <w:t>the potential impact of CO</w:t>
      </w:r>
      <w:r w:rsidR="00E15113" w:rsidRPr="009214D7">
        <w:rPr>
          <w:rFonts w:ascii="Arial" w:hAnsi="Arial" w:cs="Arial"/>
          <w:vertAlign w:val="subscript"/>
        </w:rPr>
        <w:t>2</w:t>
      </w:r>
      <w:r w:rsidR="00E15113" w:rsidRPr="009214D7">
        <w:rPr>
          <w:rFonts w:ascii="Arial" w:hAnsi="Arial" w:cs="Arial"/>
        </w:rPr>
        <w:t xml:space="preserve"> injection in the Southern Surat on all aquifers and associated groundwater resources in the vicinity and what is the potential for conflict with existing or future users</w:t>
      </w:r>
      <w:r w:rsidR="00E15113">
        <w:rPr>
          <w:rFonts w:ascii="Arial" w:hAnsi="Arial" w:cs="Arial"/>
        </w:rPr>
        <w:t>.</w:t>
      </w:r>
    </w:p>
    <w:p w14:paraId="4DF8DE7E" w14:textId="41667AFB" w:rsidR="0096135C" w:rsidRPr="009214D7" w:rsidRDefault="0096135C" w:rsidP="00E15113">
      <w:pPr>
        <w:spacing w:before="120" w:after="0"/>
        <w:jc w:val="both"/>
        <w:rPr>
          <w:rFonts w:ascii="Arial" w:hAnsi="Arial" w:cs="Arial"/>
          <w:b/>
          <w:i/>
          <w:color w:val="31849B"/>
        </w:rPr>
      </w:pPr>
      <w:r w:rsidRPr="009214D7">
        <w:rPr>
          <w:rFonts w:ascii="Arial" w:hAnsi="Arial" w:cs="Arial"/>
          <w:b/>
          <w:i/>
          <w:color w:val="31849B"/>
        </w:rPr>
        <w:t>Unknowns</w:t>
      </w:r>
    </w:p>
    <w:p w14:paraId="43E9D54B" w14:textId="77777777" w:rsidR="009214D7" w:rsidRPr="009214D7" w:rsidRDefault="009214D7" w:rsidP="00E15113">
      <w:pPr>
        <w:spacing w:before="120" w:after="80"/>
        <w:jc w:val="both"/>
        <w:rPr>
          <w:rFonts w:ascii="Arial" w:hAnsi="Arial" w:cs="Arial"/>
        </w:rPr>
      </w:pPr>
      <w:r w:rsidRPr="009214D7">
        <w:rPr>
          <w:rFonts w:ascii="Arial" w:hAnsi="Arial" w:cs="Arial"/>
        </w:rPr>
        <w:t>What is the potential impact of CO</w:t>
      </w:r>
      <w:r w:rsidRPr="009214D7">
        <w:rPr>
          <w:rFonts w:ascii="Arial" w:hAnsi="Arial" w:cs="Arial"/>
          <w:vertAlign w:val="subscript"/>
        </w:rPr>
        <w:t>2</w:t>
      </w:r>
      <w:r w:rsidRPr="009214D7">
        <w:rPr>
          <w:rFonts w:ascii="Arial" w:hAnsi="Arial" w:cs="Arial"/>
        </w:rPr>
        <w:t xml:space="preserve"> injection in the Southern Surat on all aquifers and associated groundwater resources in the vicinity and what is the potential for conflict with existing or future users?</w:t>
      </w:r>
    </w:p>
    <w:p w14:paraId="505E1D0A" w14:textId="7CA86AE5" w:rsidR="009214D7" w:rsidRPr="009214D7" w:rsidRDefault="009214D7" w:rsidP="00E15113">
      <w:pPr>
        <w:spacing w:before="120" w:after="80"/>
        <w:jc w:val="both"/>
        <w:rPr>
          <w:rFonts w:ascii="Arial" w:hAnsi="Arial" w:cs="Arial"/>
          <w:b/>
          <w:i/>
          <w:color w:val="31849B"/>
        </w:rPr>
      </w:pPr>
      <w:r w:rsidRPr="009214D7">
        <w:rPr>
          <w:rFonts w:ascii="Arial" w:hAnsi="Arial" w:cs="Arial"/>
          <w:b/>
          <w:i/>
          <w:color w:val="31849B"/>
        </w:rPr>
        <w:t>Research objective</w:t>
      </w:r>
    </w:p>
    <w:p w14:paraId="6419CC6C" w14:textId="185C132F" w:rsidR="009214D7" w:rsidRPr="00E15113" w:rsidRDefault="009214D7" w:rsidP="00E15113">
      <w:pPr>
        <w:spacing w:before="120" w:after="80"/>
        <w:jc w:val="both"/>
        <w:rPr>
          <w:rFonts w:ascii="Arial" w:hAnsi="Arial" w:cs="Arial"/>
          <w:color w:val="262626" w:themeColor="text1" w:themeTint="D9"/>
        </w:rPr>
      </w:pPr>
      <w:r w:rsidRPr="00E15113">
        <w:rPr>
          <w:rFonts w:ascii="Arial" w:hAnsi="Arial" w:cs="Arial"/>
          <w:color w:val="262626" w:themeColor="text1" w:themeTint="D9"/>
        </w:rPr>
        <w:t>This project aims to analyse the impact of CCS injection operations on the aquifer characteristic and groundwater quality by comparing available water bores (town bores) to those that originate from the Precipice Sandstone.</w:t>
      </w:r>
    </w:p>
    <w:p w14:paraId="66E60AA1" w14:textId="49229FED" w:rsidR="009214D7" w:rsidRPr="009214D7" w:rsidRDefault="009214D7" w:rsidP="00E15113">
      <w:pPr>
        <w:spacing w:before="120" w:after="80"/>
        <w:jc w:val="both"/>
        <w:rPr>
          <w:rFonts w:ascii="Arial" w:hAnsi="Arial" w:cs="Arial"/>
          <w:b/>
          <w:i/>
          <w:color w:val="31849B"/>
        </w:rPr>
      </w:pPr>
      <w:r w:rsidRPr="009214D7">
        <w:rPr>
          <w:rFonts w:ascii="Arial" w:hAnsi="Arial" w:cs="Arial"/>
          <w:b/>
          <w:i/>
          <w:color w:val="31849B"/>
        </w:rPr>
        <w:t>New Knowledge</w:t>
      </w:r>
    </w:p>
    <w:p w14:paraId="62B03C57" w14:textId="77777777" w:rsidR="0067423B" w:rsidRPr="009214D7" w:rsidRDefault="0067423B" w:rsidP="00E15113">
      <w:pPr>
        <w:pStyle w:val="CTSCoBulletLevel2"/>
        <w:numPr>
          <w:ilvl w:val="0"/>
          <w:numId w:val="6"/>
        </w:numPr>
        <w:spacing w:before="120" w:line="276" w:lineRule="auto"/>
        <w:jc w:val="both"/>
        <w:rPr>
          <w:rFonts w:ascii="Arial" w:hAnsi="Arial" w:cs="Arial"/>
          <w:noProof/>
        </w:rPr>
      </w:pPr>
      <w:r w:rsidRPr="009214D7">
        <w:rPr>
          <w:rFonts w:ascii="Arial" w:hAnsi="Arial" w:cs="Arial"/>
          <w:noProof/>
        </w:rPr>
        <w:t>Updated groundwater resources and hydrogeological environment of the Southern Surat that will be used to update the (UQ SDAAP) conceptual hydrogeological model of the area.</w:t>
      </w:r>
    </w:p>
    <w:p w14:paraId="1E07B9A3" w14:textId="77777777" w:rsidR="0067423B" w:rsidRPr="009214D7" w:rsidRDefault="0067423B" w:rsidP="00E15113">
      <w:pPr>
        <w:pStyle w:val="CTSCoBulletLevel2"/>
        <w:numPr>
          <w:ilvl w:val="0"/>
          <w:numId w:val="6"/>
        </w:numPr>
        <w:spacing w:before="120" w:line="276" w:lineRule="auto"/>
        <w:jc w:val="both"/>
        <w:rPr>
          <w:rFonts w:ascii="Arial" w:hAnsi="Arial" w:cs="Arial"/>
          <w:noProof/>
        </w:rPr>
      </w:pPr>
      <w:r w:rsidRPr="009214D7">
        <w:rPr>
          <w:rFonts w:ascii="Arial" w:hAnsi="Arial" w:cs="Arial"/>
          <w:noProof/>
        </w:rPr>
        <w:t xml:space="preserve">Assessessment of the impact of CCS injection operations on the aquifer characteristics and groundwater quality on </w:t>
      </w:r>
      <w:r w:rsidRPr="009214D7">
        <w:rPr>
          <w:rFonts w:ascii="Arial" w:hAnsi="Arial" w:cs="Arial"/>
        </w:rPr>
        <w:t xml:space="preserve">other available water bores, town bores that produce groundwater from the Precipice Sandstone. </w:t>
      </w:r>
    </w:p>
    <w:p w14:paraId="00F801DC" w14:textId="76564EB1" w:rsidR="0067423B" w:rsidRPr="009214D7" w:rsidRDefault="0067423B" w:rsidP="00E15113">
      <w:pPr>
        <w:pStyle w:val="CTSCoBulletLevel2"/>
        <w:numPr>
          <w:ilvl w:val="0"/>
          <w:numId w:val="6"/>
        </w:numPr>
        <w:spacing w:before="120" w:line="276" w:lineRule="auto"/>
        <w:jc w:val="both"/>
        <w:rPr>
          <w:rFonts w:ascii="Arial" w:hAnsi="Arial" w:cs="Arial"/>
          <w:noProof/>
        </w:rPr>
      </w:pPr>
      <w:r w:rsidRPr="009214D7">
        <w:rPr>
          <w:rFonts w:ascii="Arial" w:hAnsi="Arial" w:cs="Arial"/>
        </w:rPr>
        <w:t>Additional quality water samples and analysis from Precipice bores to improve the understanding of the regional hydrogeology of the Precipice Sandstone.</w:t>
      </w:r>
    </w:p>
    <w:p w14:paraId="0599B9A2" w14:textId="5C746B93" w:rsidR="0096135C" w:rsidRPr="009214D7" w:rsidRDefault="0096135C" w:rsidP="00E15113">
      <w:pPr>
        <w:spacing w:before="120" w:after="80"/>
        <w:jc w:val="both"/>
        <w:rPr>
          <w:rFonts w:ascii="Arial" w:hAnsi="Arial" w:cs="Arial"/>
          <w:b/>
          <w:i/>
          <w:color w:val="31849B"/>
        </w:rPr>
      </w:pPr>
      <w:r w:rsidRPr="009214D7">
        <w:rPr>
          <w:rFonts w:ascii="Arial" w:hAnsi="Arial" w:cs="Arial"/>
          <w:b/>
          <w:i/>
          <w:color w:val="31849B"/>
        </w:rPr>
        <w:t>Work Program</w:t>
      </w:r>
    </w:p>
    <w:p w14:paraId="57C55C7C" w14:textId="77777777" w:rsidR="0067423B" w:rsidRPr="009214D7" w:rsidRDefault="0067423B" w:rsidP="00E15113">
      <w:pPr>
        <w:pStyle w:val="CTSCoBodytext"/>
        <w:spacing w:before="120" w:line="276" w:lineRule="auto"/>
        <w:jc w:val="both"/>
        <w:rPr>
          <w:rFonts w:ascii="Arial" w:hAnsi="Arial" w:cs="Arial"/>
        </w:rPr>
      </w:pPr>
      <w:r w:rsidRPr="009214D7">
        <w:rPr>
          <w:rFonts w:ascii="Arial" w:hAnsi="Arial" w:cs="Arial"/>
        </w:rPr>
        <w:t>This is a data gathering and modelling exercises.</w:t>
      </w:r>
    </w:p>
    <w:p w14:paraId="4979E527" w14:textId="77777777" w:rsidR="0067423B" w:rsidRPr="009214D7" w:rsidRDefault="0067423B" w:rsidP="00E15113">
      <w:pPr>
        <w:pStyle w:val="CTSCoBulletLevel1"/>
        <w:spacing w:before="120" w:line="276" w:lineRule="auto"/>
        <w:jc w:val="both"/>
        <w:rPr>
          <w:rFonts w:ascii="Arial" w:hAnsi="Arial" w:cs="Arial"/>
        </w:rPr>
      </w:pPr>
      <w:r w:rsidRPr="009214D7">
        <w:rPr>
          <w:rFonts w:ascii="Arial" w:hAnsi="Arial" w:cs="Arial"/>
        </w:rPr>
        <w:t>Modelling component - 1</w:t>
      </w:r>
    </w:p>
    <w:p w14:paraId="6458ED6C"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Review the UQ SDAAP Project hydrogeological report and related hydrogeological data</w:t>
      </w:r>
    </w:p>
    <w:p w14:paraId="4299236C"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Update the UQ SDAAP model input data, if relevant, new data or interpretations are available.</w:t>
      </w:r>
    </w:p>
    <w:p w14:paraId="07F0C240"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 xml:space="preserve">Load the UQ SDAAP model into suitable regional hydrogeological modelling software. </w:t>
      </w:r>
    </w:p>
    <w:p w14:paraId="3A58C6D3"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Model the response on bores arising from commercial injection displacing low quality from the injection area into good water quality in adjacent areas.</w:t>
      </w:r>
    </w:p>
    <w:p w14:paraId="7AD0619E" w14:textId="77777777" w:rsidR="0067423B" w:rsidRPr="009214D7" w:rsidRDefault="0067423B" w:rsidP="00E15113">
      <w:pPr>
        <w:pStyle w:val="CTSCoBulletLevel1"/>
        <w:spacing w:before="120" w:line="276" w:lineRule="auto"/>
        <w:jc w:val="both"/>
        <w:rPr>
          <w:rFonts w:ascii="Arial" w:hAnsi="Arial" w:cs="Arial"/>
        </w:rPr>
      </w:pPr>
      <w:r w:rsidRPr="009214D7">
        <w:rPr>
          <w:rFonts w:ascii="Arial" w:hAnsi="Arial" w:cs="Arial"/>
        </w:rPr>
        <w:t>Modelling component – 2</w:t>
      </w:r>
    </w:p>
    <w:p w14:paraId="273DE9DA"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For commercial-scale operations, there could be value in leveraging the OGIA and Queensland State monitoring bore network plus other available water bores, town bores that produce groundwater from the Precipice Sandstone.</w:t>
      </w:r>
    </w:p>
    <w:p w14:paraId="0D4128FD"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How can this network be optimized for monitoring the regional impact of GHG Stream injection within the southern Surat Basin?</w:t>
      </w:r>
    </w:p>
    <w:p w14:paraId="17CE2EC1" w14:textId="77777777" w:rsidR="0067423B" w:rsidRPr="009214D7" w:rsidRDefault="0067423B" w:rsidP="00E15113">
      <w:pPr>
        <w:pStyle w:val="CTSCoBulletLevel1"/>
        <w:spacing w:before="120" w:line="276" w:lineRule="auto"/>
        <w:jc w:val="both"/>
        <w:rPr>
          <w:rFonts w:ascii="Arial" w:hAnsi="Arial" w:cs="Arial"/>
        </w:rPr>
      </w:pPr>
      <w:r w:rsidRPr="009214D7">
        <w:rPr>
          <w:rFonts w:ascii="Arial" w:hAnsi="Arial" w:cs="Arial"/>
        </w:rPr>
        <w:t>Data Gathering component</w:t>
      </w:r>
    </w:p>
    <w:p w14:paraId="5BE46878" w14:textId="77777777" w:rsidR="0067423B"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 xml:space="preserve">A targeted new water sampling and analysis campaign of existing bores to improve the understanding of the Precipice aquifer system. </w:t>
      </w:r>
    </w:p>
    <w:p w14:paraId="1C4B655D" w14:textId="2336E98F" w:rsidR="00DC103E" w:rsidRPr="009214D7" w:rsidRDefault="0067423B" w:rsidP="00E15113">
      <w:pPr>
        <w:pStyle w:val="CTSCoBulletLevel2"/>
        <w:numPr>
          <w:ilvl w:val="1"/>
          <w:numId w:val="6"/>
        </w:numPr>
        <w:spacing w:after="0"/>
        <w:ind w:left="1077" w:hanging="357"/>
        <w:jc w:val="both"/>
        <w:rPr>
          <w:rFonts w:ascii="Arial" w:hAnsi="Arial" w:cs="Arial"/>
          <w:sz w:val="18"/>
        </w:rPr>
      </w:pPr>
      <w:r w:rsidRPr="009214D7">
        <w:rPr>
          <w:rFonts w:ascii="Arial" w:hAnsi="Arial" w:cs="Arial"/>
          <w:sz w:val="18"/>
        </w:rPr>
        <w:t>This includes repeat sampling and measurement of major/minor ions, trace elements and isotope analysis including age dating. The repeat sampling is to show that the water chemistry is not changing.</w:t>
      </w:r>
    </w:p>
    <w:p w14:paraId="73BD702F" w14:textId="7CE18EB8" w:rsidR="0096135C" w:rsidRPr="009214D7" w:rsidRDefault="0096135C" w:rsidP="00E15113">
      <w:pPr>
        <w:spacing w:before="120" w:after="80"/>
        <w:jc w:val="both"/>
        <w:rPr>
          <w:rFonts w:ascii="Arial" w:hAnsi="Arial" w:cs="Arial"/>
          <w:b/>
          <w:i/>
          <w:color w:val="31849B"/>
          <w:szCs w:val="22"/>
          <w:lang w:eastAsia="en-AU" w:bidi="ar-SA"/>
        </w:rPr>
      </w:pPr>
      <w:r w:rsidRPr="009214D7">
        <w:rPr>
          <w:rFonts w:ascii="Arial" w:hAnsi="Arial" w:cs="Arial"/>
          <w:b/>
          <w:i/>
          <w:color w:val="31849B"/>
          <w:szCs w:val="22"/>
          <w:lang w:eastAsia="en-AU" w:bidi="ar-SA"/>
        </w:rPr>
        <w:t>Milestones</w:t>
      </w:r>
    </w:p>
    <w:p w14:paraId="1670CD5F" w14:textId="4330CE27" w:rsidR="0067423B" w:rsidRPr="009214D7" w:rsidRDefault="0067423B" w:rsidP="00E15113">
      <w:pPr>
        <w:pStyle w:val="Heading3"/>
        <w:numPr>
          <w:ilvl w:val="0"/>
          <w:numId w:val="0"/>
        </w:numPr>
        <w:spacing w:before="0" w:after="0" w:line="276" w:lineRule="auto"/>
        <w:ind w:left="680" w:hanging="680"/>
        <w:jc w:val="both"/>
        <w:rPr>
          <w:rFonts w:ascii="Arial" w:hAnsi="Arial" w:cs="Arial"/>
          <w:b w:val="0"/>
          <w:sz w:val="20"/>
        </w:rPr>
      </w:pPr>
      <w:bookmarkStart w:id="0" w:name="_Toc522544211"/>
      <w:r w:rsidRPr="009214D7">
        <w:rPr>
          <w:rFonts w:ascii="Arial" w:hAnsi="Arial" w:cs="Arial"/>
          <w:b w:val="0"/>
          <w:sz w:val="20"/>
        </w:rPr>
        <w:t xml:space="preserve">Milestone 1: </w:t>
      </w:r>
      <w:bookmarkEnd w:id="0"/>
      <w:r w:rsidR="00771B16" w:rsidRPr="00D77E48">
        <w:rPr>
          <w:rFonts w:ascii="Arial" w:hAnsi="Arial" w:cs="Arial"/>
          <w:b w:val="0"/>
          <w:sz w:val="20"/>
        </w:rPr>
        <w:t>Literature review</w:t>
      </w:r>
      <w:bookmarkStart w:id="1" w:name="_GoBack"/>
      <w:bookmarkEnd w:id="1"/>
    </w:p>
    <w:p w14:paraId="0083647F" w14:textId="20FF2D2C" w:rsidR="0067423B" w:rsidRPr="009214D7" w:rsidRDefault="0067423B" w:rsidP="00E15113">
      <w:pPr>
        <w:pStyle w:val="Heading3"/>
        <w:numPr>
          <w:ilvl w:val="0"/>
          <w:numId w:val="0"/>
        </w:numPr>
        <w:spacing w:before="0" w:after="0" w:line="276" w:lineRule="auto"/>
        <w:ind w:left="680" w:hanging="680"/>
        <w:jc w:val="both"/>
        <w:rPr>
          <w:rFonts w:ascii="Arial" w:hAnsi="Arial" w:cs="Arial"/>
          <w:b w:val="0"/>
          <w:sz w:val="20"/>
        </w:rPr>
      </w:pPr>
      <w:bookmarkStart w:id="2" w:name="_Toc522544212"/>
      <w:r w:rsidRPr="009214D7">
        <w:rPr>
          <w:rFonts w:ascii="Arial" w:hAnsi="Arial" w:cs="Arial"/>
          <w:b w:val="0"/>
          <w:sz w:val="20"/>
        </w:rPr>
        <w:t xml:space="preserve">Milestone 2: </w:t>
      </w:r>
      <w:bookmarkEnd w:id="2"/>
      <w:r w:rsidR="00771B16" w:rsidRPr="00D77E48">
        <w:rPr>
          <w:rFonts w:ascii="Arial" w:hAnsi="Arial" w:cs="Arial"/>
          <w:b w:val="0"/>
          <w:sz w:val="20"/>
        </w:rPr>
        <w:t>Data acquisition</w:t>
      </w:r>
    </w:p>
    <w:p w14:paraId="21682FD7" w14:textId="7FCC92D3" w:rsidR="0067423B" w:rsidRPr="009214D7" w:rsidRDefault="0067423B" w:rsidP="00E15113">
      <w:pPr>
        <w:pStyle w:val="Heading3"/>
        <w:numPr>
          <w:ilvl w:val="0"/>
          <w:numId w:val="0"/>
        </w:numPr>
        <w:spacing w:before="0" w:after="0" w:line="276" w:lineRule="auto"/>
        <w:ind w:left="680" w:hanging="680"/>
        <w:jc w:val="both"/>
        <w:rPr>
          <w:rFonts w:ascii="Arial" w:hAnsi="Arial" w:cs="Arial"/>
          <w:b w:val="0"/>
          <w:sz w:val="20"/>
        </w:rPr>
      </w:pPr>
      <w:bookmarkStart w:id="3" w:name="_Toc522544213"/>
      <w:r w:rsidRPr="009214D7">
        <w:rPr>
          <w:rFonts w:ascii="Arial" w:hAnsi="Arial" w:cs="Arial"/>
          <w:b w:val="0"/>
          <w:sz w:val="20"/>
        </w:rPr>
        <w:t xml:space="preserve">Milestone 3: </w:t>
      </w:r>
      <w:bookmarkEnd w:id="3"/>
      <w:r w:rsidR="00771B16" w:rsidRPr="00D77E48">
        <w:rPr>
          <w:rFonts w:ascii="Arial" w:hAnsi="Arial" w:cs="Arial"/>
          <w:b w:val="0"/>
          <w:sz w:val="20"/>
        </w:rPr>
        <w:t>Modelling</w:t>
      </w:r>
    </w:p>
    <w:p w14:paraId="4525BEB5" w14:textId="77777777" w:rsidR="0067423B" w:rsidRPr="009214D7" w:rsidRDefault="0067423B" w:rsidP="00E15113">
      <w:pPr>
        <w:pStyle w:val="Heading3"/>
        <w:numPr>
          <w:ilvl w:val="0"/>
          <w:numId w:val="0"/>
        </w:numPr>
        <w:spacing w:before="0" w:after="0" w:line="276" w:lineRule="auto"/>
        <w:ind w:left="680" w:hanging="680"/>
        <w:jc w:val="both"/>
        <w:rPr>
          <w:rFonts w:ascii="Arial" w:hAnsi="Arial" w:cs="Arial"/>
          <w:b w:val="0"/>
          <w:sz w:val="20"/>
        </w:rPr>
      </w:pPr>
      <w:bookmarkStart w:id="4" w:name="_Toc522544214"/>
      <w:r w:rsidRPr="009214D7">
        <w:rPr>
          <w:rFonts w:ascii="Arial" w:hAnsi="Arial" w:cs="Arial"/>
          <w:b w:val="0"/>
          <w:sz w:val="20"/>
        </w:rPr>
        <w:t>Milestone 4: Final report</w:t>
      </w:r>
      <w:bookmarkEnd w:id="4"/>
    </w:p>
    <w:p w14:paraId="742D212D" w14:textId="77777777" w:rsidR="00050F6E" w:rsidRPr="009214D7" w:rsidRDefault="00050F6E" w:rsidP="00E15113">
      <w:pPr>
        <w:spacing w:before="120" w:after="80"/>
        <w:jc w:val="both"/>
        <w:rPr>
          <w:rFonts w:ascii="Arial" w:hAnsi="Arial" w:cs="Arial"/>
          <w:b/>
          <w:i/>
          <w:color w:val="31849B"/>
          <w:szCs w:val="22"/>
          <w:lang w:eastAsia="en-AU" w:bidi="ar-SA"/>
        </w:rPr>
      </w:pPr>
    </w:p>
    <w:sectPr w:rsidR="00050F6E" w:rsidRPr="009214D7"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rgUAkO0a6SwAAAA="/>
  </w:docVars>
  <w:rsids>
    <w:rsidRoot w:val="0096135C"/>
    <w:rsid w:val="00050F6E"/>
    <w:rsid w:val="000A2C14"/>
    <w:rsid w:val="000C3F8D"/>
    <w:rsid w:val="000C57EE"/>
    <w:rsid w:val="00177A7A"/>
    <w:rsid w:val="001819B9"/>
    <w:rsid w:val="001976DD"/>
    <w:rsid w:val="001E713B"/>
    <w:rsid w:val="002411E4"/>
    <w:rsid w:val="0027463C"/>
    <w:rsid w:val="00284550"/>
    <w:rsid w:val="002B721C"/>
    <w:rsid w:val="002E5AD4"/>
    <w:rsid w:val="0031753C"/>
    <w:rsid w:val="00373864"/>
    <w:rsid w:val="00405AB7"/>
    <w:rsid w:val="00436E76"/>
    <w:rsid w:val="004A2FF1"/>
    <w:rsid w:val="00601B9B"/>
    <w:rsid w:val="0065159D"/>
    <w:rsid w:val="0067423B"/>
    <w:rsid w:val="006D1E48"/>
    <w:rsid w:val="006D216C"/>
    <w:rsid w:val="00712F5F"/>
    <w:rsid w:val="00771B16"/>
    <w:rsid w:val="00783318"/>
    <w:rsid w:val="007B4090"/>
    <w:rsid w:val="007D28AC"/>
    <w:rsid w:val="007E7F1E"/>
    <w:rsid w:val="00813D29"/>
    <w:rsid w:val="00871D8F"/>
    <w:rsid w:val="008832F6"/>
    <w:rsid w:val="008D787A"/>
    <w:rsid w:val="008F7822"/>
    <w:rsid w:val="009214D7"/>
    <w:rsid w:val="009234E9"/>
    <w:rsid w:val="00923F14"/>
    <w:rsid w:val="0096135C"/>
    <w:rsid w:val="009E10A7"/>
    <w:rsid w:val="009F503E"/>
    <w:rsid w:val="00A65124"/>
    <w:rsid w:val="00A6572F"/>
    <w:rsid w:val="00AB716F"/>
    <w:rsid w:val="00AC50A9"/>
    <w:rsid w:val="00B621B8"/>
    <w:rsid w:val="00B75A61"/>
    <w:rsid w:val="00B9468F"/>
    <w:rsid w:val="00BB2ED7"/>
    <w:rsid w:val="00BC4F62"/>
    <w:rsid w:val="00BE5136"/>
    <w:rsid w:val="00C060C7"/>
    <w:rsid w:val="00C25092"/>
    <w:rsid w:val="00C32707"/>
    <w:rsid w:val="00C36316"/>
    <w:rsid w:val="00C41B71"/>
    <w:rsid w:val="00CA273B"/>
    <w:rsid w:val="00CA631D"/>
    <w:rsid w:val="00D27A5E"/>
    <w:rsid w:val="00DC103E"/>
    <w:rsid w:val="00DD2402"/>
    <w:rsid w:val="00E15113"/>
    <w:rsid w:val="00E30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7</cp:revision>
  <dcterms:created xsi:type="dcterms:W3CDTF">2018-09-04T01:59:00Z</dcterms:created>
  <dcterms:modified xsi:type="dcterms:W3CDTF">2018-09-24T05:57:00Z</dcterms:modified>
</cp:coreProperties>
</file>