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0915ED" w14:paraId="31B40C62" w14:textId="77777777" w:rsidTr="000915ED">
        <w:trPr>
          <w:trHeight w:val="1036"/>
        </w:trPr>
        <w:tc>
          <w:tcPr>
            <w:tcW w:w="7054" w:type="dxa"/>
            <w:gridSpan w:val="2"/>
            <w:shd w:val="clear" w:color="auto" w:fill="31849B"/>
            <w:vAlign w:val="center"/>
          </w:tcPr>
          <w:p w14:paraId="6E2BC731" w14:textId="77777777" w:rsidR="00E95684" w:rsidRPr="000915ED" w:rsidRDefault="0096135C" w:rsidP="00AB3A69">
            <w:pPr>
              <w:spacing w:before="120" w:after="80"/>
              <w:jc w:val="both"/>
              <w:rPr>
                <w:rFonts w:ascii="Arial" w:hAnsi="Arial" w:cs="Arial"/>
              </w:rPr>
            </w:pPr>
            <w:r w:rsidRPr="000915ED">
              <w:rPr>
                <w:rFonts w:ascii="Arial" w:hAnsi="Arial" w:cs="Arial"/>
                <w:color w:val="FFFFFF"/>
              </w:rPr>
              <w:t xml:space="preserve">Title: </w:t>
            </w:r>
            <w:r w:rsidR="00E95684" w:rsidRPr="000915ED">
              <w:rPr>
                <w:rFonts w:ascii="Arial" w:hAnsi="Arial" w:cs="Arial"/>
                <w:color w:val="FFFFFF" w:themeColor="background1"/>
              </w:rPr>
              <w:t xml:space="preserve">Precipice Sandstone water salinity estimation from Spontaneous Potential logs </w:t>
            </w:r>
          </w:p>
          <w:p w14:paraId="505F9C12" w14:textId="33EF4498"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Project Leader: </w:t>
            </w:r>
          </w:p>
        </w:tc>
        <w:tc>
          <w:tcPr>
            <w:tcW w:w="3544" w:type="dxa"/>
            <w:shd w:val="clear" w:color="auto" w:fill="31849B"/>
            <w:vAlign w:val="center"/>
          </w:tcPr>
          <w:p w14:paraId="7EF34A0F" w14:textId="77777777"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Demonstration Project: </w:t>
            </w:r>
          </w:p>
          <w:p w14:paraId="566D1463" w14:textId="0F34F26F" w:rsidR="0096135C" w:rsidRPr="000915ED" w:rsidRDefault="00AC50A9" w:rsidP="00AB3A69">
            <w:pPr>
              <w:spacing w:before="120" w:after="80"/>
              <w:jc w:val="both"/>
              <w:rPr>
                <w:rFonts w:ascii="Arial" w:hAnsi="Arial" w:cs="Arial"/>
                <w:color w:val="FFFFFF"/>
              </w:rPr>
            </w:pPr>
            <w:r w:rsidRPr="000915ED">
              <w:rPr>
                <w:rFonts w:ascii="Arial" w:hAnsi="Arial" w:cs="Arial"/>
                <w:color w:val="FFFFFF"/>
              </w:rPr>
              <w:t>Surat CCS</w:t>
            </w:r>
          </w:p>
        </w:tc>
      </w:tr>
      <w:tr w:rsidR="0096135C" w:rsidRPr="000915ED" w14:paraId="07054E16" w14:textId="77777777" w:rsidTr="000915ED">
        <w:tblPrEx>
          <w:shd w:val="clear" w:color="auto" w:fill="FABF8F"/>
        </w:tblPrEx>
        <w:tc>
          <w:tcPr>
            <w:tcW w:w="3227" w:type="dxa"/>
            <w:shd w:val="clear" w:color="auto" w:fill="31849B"/>
            <w:vAlign w:val="center"/>
          </w:tcPr>
          <w:p w14:paraId="634BCD16" w14:textId="7D454531"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Project Number: </w:t>
            </w:r>
          </w:p>
          <w:p w14:paraId="6E07BBC0" w14:textId="17CDEE63"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Status: Under Development</w:t>
            </w:r>
          </w:p>
        </w:tc>
        <w:tc>
          <w:tcPr>
            <w:tcW w:w="3827" w:type="dxa"/>
            <w:shd w:val="clear" w:color="auto" w:fill="31849B"/>
            <w:vAlign w:val="center"/>
          </w:tcPr>
          <w:p w14:paraId="39BAB122" w14:textId="720EED33"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Commencement: </w:t>
            </w:r>
            <w:r w:rsidR="00AC50A9" w:rsidRPr="000915ED">
              <w:rPr>
                <w:rFonts w:ascii="Arial" w:hAnsi="Arial" w:cs="Arial"/>
                <w:color w:val="FFFFFF"/>
              </w:rPr>
              <w:t>2018</w:t>
            </w:r>
          </w:p>
          <w:p w14:paraId="4A2A2CE8" w14:textId="41AEA946"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Completion: </w:t>
            </w:r>
          </w:p>
        </w:tc>
        <w:tc>
          <w:tcPr>
            <w:tcW w:w="3544" w:type="dxa"/>
            <w:shd w:val="clear" w:color="auto" w:fill="31849B"/>
            <w:vAlign w:val="center"/>
          </w:tcPr>
          <w:p w14:paraId="201D54AE" w14:textId="77777777" w:rsidR="00AC50A9"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Total Budget: </w:t>
            </w:r>
          </w:p>
          <w:p w14:paraId="41196A06" w14:textId="2046660A" w:rsidR="0096135C" w:rsidRPr="000915ED" w:rsidRDefault="0096135C" w:rsidP="00AB3A69">
            <w:pPr>
              <w:spacing w:before="120" w:after="80"/>
              <w:jc w:val="both"/>
              <w:rPr>
                <w:rFonts w:ascii="Arial" w:hAnsi="Arial" w:cs="Arial"/>
                <w:color w:val="FFFFFF"/>
              </w:rPr>
            </w:pPr>
            <w:r w:rsidRPr="000915ED">
              <w:rPr>
                <w:rFonts w:ascii="Arial" w:hAnsi="Arial" w:cs="Arial"/>
                <w:color w:val="FFFFFF"/>
              </w:rPr>
              <w:t xml:space="preserve">ANLEC R&amp;D Contribution: </w:t>
            </w:r>
          </w:p>
        </w:tc>
      </w:tr>
    </w:tbl>
    <w:p w14:paraId="719156AA" w14:textId="77777777" w:rsidR="0096135C" w:rsidRPr="000915ED" w:rsidRDefault="0096135C" w:rsidP="00AB3A69">
      <w:pPr>
        <w:spacing w:before="120" w:after="80"/>
        <w:jc w:val="both"/>
        <w:rPr>
          <w:rFonts w:ascii="Arial" w:hAnsi="Arial" w:cs="Arial"/>
          <w:b/>
          <w:i/>
          <w:color w:val="31849B"/>
        </w:rPr>
      </w:pPr>
      <w:r w:rsidRPr="000915ED">
        <w:rPr>
          <w:rFonts w:ascii="Arial" w:hAnsi="Arial" w:cs="Arial"/>
          <w:b/>
          <w:i/>
          <w:color w:val="31849B"/>
        </w:rPr>
        <w:t>The Context</w:t>
      </w:r>
    </w:p>
    <w:p w14:paraId="6608F481" w14:textId="5B46F8BA" w:rsidR="00581D1A" w:rsidRPr="000915ED" w:rsidRDefault="000915ED" w:rsidP="00AB3A69">
      <w:pPr>
        <w:spacing w:before="120" w:after="0"/>
        <w:jc w:val="both"/>
        <w:rPr>
          <w:rFonts w:ascii="Arial" w:hAnsi="Arial" w:cs="Arial"/>
          <w:b/>
          <w:i/>
          <w:color w:val="31849B"/>
        </w:rPr>
      </w:pPr>
      <w:r w:rsidRPr="000915ED">
        <w:rPr>
          <w:rFonts w:ascii="Arial" w:hAnsi="Arial" w:cs="Arial"/>
        </w:rPr>
        <w:t xml:space="preserve">The salinity of the Precipice Sandstone is an important constraint on the stakeholder support and regulatory approval for the Surat Basin as a potential carbon geosequestration storage site. Deep groundwater salinity is generally derived from laboratory analysis of groundwater samples collected by petroleum exploration drilling. In the southern Surat Basin there are very few petroleum wells </w:t>
      </w:r>
      <w:r w:rsidR="00FF70E5" w:rsidRPr="000915ED">
        <w:rPr>
          <w:rFonts w:ascii="Arial" w:hAnsi="Arial" w:cs="Arial"/>
        </w:rPr>
        <w:t>in</w:t>
      </w:r>
      <w:r w:rsidRPr="000915ED">
        <w:rPr>
          <w:rFonts w:ascii="Arial" w:hAnsi="Arial" w:cs="Arial"/>
        </w:rPr>
        <w:t xml:space="preserve"> geosequestration interest, and of the available wells, many of the recovered water samples are heavily contaminated with drilling mud filtrate </w:t>
      </w:r>
      <w:r w:rsidR="00FF70E5">
        <w:rPr>
          <w:rFonts w:ascii="Arial" w:hAnsi="Arial" w:cs="Arial"/>
        </w:rPr>
        <w:t>and</w:t>
      </w:r>
      <w:r w:rsidRPr="000915ED">
        <w:rPr>
          <w:rFonts w:ascii="Arial" w:hAnsi="Arial" w:cs="Arial"/>
        </w:rPr>
        <w:t xml:space="preserve"> have only basic wireline logs.</w:t>
      </w:r>
      <w:r w:rsidR="00AB3A69">
        <w:rPr>
          <w:rFonts w:ascii="Arial" w:hAnsi="Arial" w:cs="Arial"/>
        </w:rPr>
        <w:t xml:space="preserve"> This project is proposing to map</w:t>
      </w:r>
      <w:r w:rsidR="00AB3A69" w:rsidRPr="00AB3A69">
        <w:rPr>
          <w:rFonts w:ascii="Arial" w:hAnsi="Arial" w:cs="Arial"/>
        </w:rPr>
        <w:t xml:space="preserve"> </w:t>
      </w:r>
      <w:r w:rsidR="00AB3A69" w:rsidRPr="00AB3A69">
        <w:rPr>
          <w:rFonts w:ascii="Arial" w:hAnsi="Arial" w:cs="Arial"/>
          <w:lang w:val="en-US" w:bidi="ar-SA"/>
        </w:rPr>
        <w:t>the distribution of the potable/non-potable Precipice Sandstone groundwater in the southern Surat Basin from the available wireline logs</w:t>
      </w:r>
      <w:r w:rsidR="00AB3A69">
        <w:rPr>
          <w:lang w:val="en-US" w:bidi="ar-SA"/>
        </w:rPr>
        <w:t>.</w:t>
      </w:r>
    </w:p>
    <w:p w14:paraId="4DF8DE7E" w14:textId="0775765C" w:rsidR="0096135C" w:rsidRPr="000915ED" w:rsidRDefault="0096135C" w:rsidP="00AB3A69">
      <w:pPr>
        <w:spacing w:before="120" w:after="0"/>
        <w:jc w:val="both"/>
        <w:rPr>
          <w:rFonts w:ascii="Arial" w:hAnsi="Arial" w:cs="Arial"/>
          <w:b/>
          <w:i/>
          <w:color w:val="31849B"/>
        </w:rPr>
      </w:pPr>
      <w:r w:rsidRPr="000915ED">
        <w:rPr>
          <w:rFonts w:ascii="Arial" w:hAnsi="Arial" w:cs="Arial"/>
          <w:b/>
          <w:i/>
          <w:color w:val="31849B"/>
        </w:rPr>
        <w:t>Unknowns</w:t>
      </w:r>
      <w:bookmarkStart w:id="0" w:name="_GoBack"/>
      <w:bookmarkEnd w:id="0"/>
    </w:p>
    <w:p w14:paraId="76D910E8" w14:textId="444B7D88" w:rsidR="00E30916" w:rsidRPr="000915ED" w:rsidRDefault="000915ED" w:rsidP="00AB3A69">
      <w:pPr>
        <w:pStyle w:val="CTSCoBodytext"/>
        <w:spacing w:before="120" w:line="276" w:lineRule="auto"/>
        <w:jc w:val="both"/>
        <w:rPr>
          <w:rFonts w:ascii="Arial" w:hAnsi="Arial" w:cs="Arial"/>
          <w:lang w:val="en-US" w:bidi="ar-SA"/>
        </w:rPr>
      </w:pPr>
      <w:r w:rsidRPr="000915ED">
        <w:rPr>
          <w:rFonts w:ascii="Arial" w:hAnsi="Arial" w:cs="Arial"/>
          <w:lang w:val="en-US" w:bidi="ar-SA"/>
        </w:rPr>
        <w:t>H</w:t>
      </w:r>
      <w:r w:rsidR="00C01E98" w:rsidRPr="000915ED">
        <w:rPr>
          <w:rFonts w:ascii="Arial" w:hAnsi="Arial" w:cs="Arial"/>
          <w:lang w:val="en-US" w:bidi="ar-SA"/>
        </w:rPr>
        <w:t>ow to assess the salinity of the groundwater in the Precipice Sandstone in the axis of the Mimosa Synline in the southern Surat Basin from the available wireline logs</w:t>
      </w:r>
      <w:r w:rsidR="00830A62" w:rsidRPr="000915ED">
        <w:rPr>
          <w:rFonts w:ascii="Arial" w:hAnsi="Arial" w:cs="Arial"/>
          <w:lang w:val="en-US" w:bidi="ar-SA"/>
        </w:rPr>
        <w:t>.</w:t>
      </w:r>
    </w:p>
    <w:p w14:paraId="186D7C6B" w14:textId="7A07FD27" w:rsidR="000915ED" w:rsidRDefault="000915ED" w:rsidP="00AB3A69">
      <w:pPr>
        <w:spacing w:before="120" w:after="80"/>
        <w:jc w:val="both"/>
        <w:rPr>
          <w:rFonts w:ascii="Arial" w:hAnsi="Arial" w:cs="Arial"/>
          <w:b/>
          <w:i/>
          <w:color w:val="31849B"/>
        </w:rPr>
      </w:pPr>
      <w:r>
        <w:rPr>
          <w:rFonts w:ascii="Arial" w:hAnsi="Arial" w:cs="Arial"/>
          <w:b/>
          <w:i/>
          <w:color w:val="31849B"/>
        </w:rPr>
        <w:t>Research Objectives</w:t>
      </w:r>
    </w:p>
    <w:p w14:paraId="1F87BEFA" w14:textId="4417917D" w:rsidR="000915ED" w:rsidRPr="000915ED" w:rsidRDefault="000915ED" w:rsidP="00AB3A69">
      <w:pPr>
        <w:pStyle w:val="CTSCoBodytext"/>
        <w:spacing w:before="120" w:line="276" w:lineRule="auto"/>
        <w:jc w:val="both"/>
        <w:rPr>
          <w:rFonts w:ascii="Arial" w:hAnsi="Arial" w:cs="Arial"/>
          <w:lang w:val="en-US" w:bidi="ar-SA"/>
        </w:rPr>
      </w:pPr>
      <w:r>
        <w:rPr>
          <w:rFonts w:ascii="Arial" w:hAnsi="Arial" w:cs="Arial"/>
        </w:rPr>
        <w:t xml:space="preserve">This project aims to </w:t>
      </w:r>
      <w:r w:rsidRPr="0016717B">
        <w:rPr>
          <w:rFonts w:ascii="Arial" w:hAnsi="Arial" w:cs="Arial"/>
        </w:rPr>
        <w:t>map the distribution of the potable/non-potable Precipice Sandstone groundwater in the southern Surat Basin</w:t>
      </w:r>
      <w:r>
        <w:rPr>
          <w:rFonts w:ascii="Arial" w:hAnsi="Arial" w:cs="Arial"/>
        </w:rPr>
        <w:t xml:space="preserve"> from the available wireline logs. </w:t>
      </w:r>
      <w:r w:rsidRPr="000915ED">
        <w:rPr>
          <w:rFonts w:ascii="Arial" w:hAnsi="Arial" w:cs="Arial"/>
          <w:lang w:val="en-US" w:bidi="ar-SA"/>
        </w:rPr>
        <w:t xml:space="preserve">Given the old vintage of most available logs in this area, </w:t>
      </w:r>
      <w:r w:rsidR="00FF70E5">
        <w:rPr>
          <w:rFonts w:ascii="Arial" w:hAnsi="Arial" w:cs="Arial"/>
          <w:lang w:val="en-US" w:bidi="ar-SA"/>
        </w:rPr>
        <w:t>CTSCo</w:t>
      </w:r>
      <w:r w:rsidRPr="000915ED">
        <w:rPr>
          <w:rFonts w:ascii="Arial" w:hAnsi="Arial" w:cs="Arial"/>
          <w:lang w:val="en-US" w:bidi="ar-SA"/>
        </w:rPr>
        <w:t xml:space="preserve"> has assumed that the solution will require a calibration of the most common log (SP) with Precipice groundwater wells/samples of known/ageed salinity. It is expected that these Project Control Wells will cover the range of salinities across the Precipice.</w:t>
      </w:r>
    </w:p>
    <w:p w14:paraId="00F801DC" w14:textId="48BD1222" w:rsidR="0067423B" w:rsidRPr="000915ED" w:rsidRDefault="000915ED" w:rsidP="00AB3A69">
      <w:pPr>
        <w:spacing w:before="120" w:after="80"/>
        <w:jc w:val="both"/>
        <w:rPr>
          <w:rFonts w:ascii="Arial" w:hAnsi="Arial" w:cs="Arial"/>
          <w:b/>
          <w:i/>
          <w:color w:val="31849B"/>
        </w:rPr>
      </w:pPr>
      <w:r>
        <w:rPr>
          <w:rFonts w:ascii="Arial" w:hAnsi="Arial" w:cs="Arial"/>
          <w:b/>
          <w:i/>
          <w:color w:val="31849B"/>
        </w:rPr>
        <w:t>New Knowledge</w:t>
      </w:r>
    </w:p>
    <w:p w14:paraId="7A854045" w14:textId="77777777" w:rsidR="00830A62" w:rsidRPr="000915ED" w:rsidRDefault="00830A62" w:rsidP="00FF70E5">
      <w:pPr>
        <w:pStyle w:val="CTSCoBulletLevel1"/>
        <w:spacing w:after="0" w:line="276" w:lineRule="auto"/>
        <w:ind w:left="641"/>
        <w:jc w:val="both"/>
        <w:rPr>
          <w:rFonts w:ascii="Arial" w:hAnsi="Arial" w:cs="Arial"/>
        </w:rPr>
      </w:pPr>
      <w:r w:rsidRPr="000915ED">
        <w:rPr>
          <w:rFonts w:ascii="Arial" w:hAnsi="Arial" w:cs="Arial"/>
        </w:rPr>
        <w:t xml:space="preserve">Identification of Project Control Wells of known Precipice water quality and with acceptable, </w:t>
      </w:r>
      <w:proofErr w:type="spellStart"/>
      <w:r w:rsidRPr="000915ED">
        <w:rPr>
          <w:rFonts w:ascii="Arial" w:hAnsi="Arial" w:cs="Arial"/>
        </w:rPr>
        <w:t>publically</w:t>
      </w:r>
      <w:proofErr w:type="spellEnd"/>
      <w:r w:rsidRPr="000915ED">
        <w:rPr>
          <w:rFonts w:ascii="Arial" w:hAnsi="Arial" w:cs="Arial"/>
        </w:rPr>
        <w:t xml:space="preserve"> available, wireline log data.</w:t>
      </w:r>
    </w:p>
    <w:p w14:paraId="64FF83DC" w14:textId="77777777" w:rsidR="00830A62" w:rsidRPr="000915ED" w:rsidRDefault="00830A62" w:rsidP="00FF70E5">
      <w:pPr>
        <w:pStyle w:val="CTSCoBulletLevel1"/>
        <w:spacing w:after="0" w:line="276" w:lineRule="auto"/>
        <w:ind w:left="641"/>
        <w:jc w:val="both"/>
        <w:rPr>
          <w:rFonts w:ascii="Arial" w:hAnsi="Arial" w:cs="Arial"/>
        </w:rPr>
      </w:pPr>
      <w:r w:rsidRPr="000915ED">
        <w:rPr>
          <w:rFonts w:ascii="Arial" w:hAnsi="Arial" w:cs="Arial"/>
        </w:rPr>
        <w:t>Correlation between Precipice water chemistry and wireline log responses.</w:t>
      </w:r>
    </w:p>
    <w:p w14:paraId="3972853C" w14:textId="77777777" w:rsidR="00830A62" w:rsidRPr="000915ED" w:rsidRDefault="00830A62" w:rsidP="00FF70E5">
      <w:pPr>
        <w:pStyle w:val="CTSCoBulletLevel1"/>
        <w:spacing w:after="0" w:line="276" w:lineRule="auto"/>
        <w:ind w:left="641"/>
        <w:jc w:val="both"/>
        <w:rPr>
          <w:rFonts w:ascii="Arial" w:hAnsi="Arial" w:cs="Arial"/>
        </w:rPr>
      </w:pPr>
      <w:r w:rsidRPr="000915ED">
        <w:rPr>
          <w:rFonts w:ascii="Arial" w:hAnsi="Arial" w:cs="Arial"/>
        </w:rPr>
        <w:t>If a suitable correlation of range of uncertainty is forthcoming, then to apply the methodology to the remaining wells in the southern Surat AOI.</w:t>
      </w:r>
    </w:p>
    <w:p w14:paraId="796E215D" w14:textId="77777777" w:rsidR="00830A62" w:rsidRPr="000915ED" w:rsidRDefault="00830A62" w:rsidP="00FF70E5">
      <w:pPr>
        <w:pStyle w:val="CTSCoBulletLevel1"/>
        <w:spacing w:after="0" w:line="276" w:lineRule="auto"/>
        <w:ind w:left="641"/>
        <w:jc w:val="both"/>
        <w:rPr>
          <w:rFonts w:ascii="Arial" w:hAnsi="Arial" w:cs="Arial"/>
        </w:rPr>
      </w:pPr>
      <w:r w:rsidRPr="000915ED">
        <w:rPr>
          <w:rFonts w:ascii="Arial" w:hAnsi="Arial" w:cs="Arial"/>
          <w:b/>
        </w:rPr>
        <w:t>LAS file</w:t>
      </w:r>
      <w:r w:rsidRPr="000915ED">
        <w:rPr>
          <w:rFonts w:ascii="Arial" w:hAnsi="Arial" w:cs="Arial"/>
        </w:rPr>
        <w:t xml:space="preserve"> of salinity interpretation for each deep well in the Surat AOI suitable for uploading into Petrel for regional mapping.</w:t>
      </w:r>
    </w:p>
    <w:p w14:paraId="1CA9C2EF" w14:textId="14A43167" w:rsidR="00581D1A" w:rsidRPr="000915ED" w:rsidRDefault="00830A62" w:rsidP="00FF70E5">
      <w:pPr>
        <w:pStyle w:val="CTSCoBulletLevel1"/>
        <w:spacing w:after="0" w:line="276" w:lineRule="auto"/>
        <w:ind w:left="641"/>
        <w:jc w:val="both"/>
        <w:rPr>
          <w:rFonts w:ascii="Arial" w:hAnsi="Arial" w:cs="Arial"/>
        </w:rPr>
      </w:pPr>
      <w:r w:rsidRPr="000915ED">
        <w:rPr>
          <w:rFonts w:ascii="Arial" w:hAnsi="Arial" w:cs="Arial"/>
          <w:b/>
        </w:rPr>
        <w:t>Report</w:t>
      </w:r>
      <w:r w:rsidRPr="000915ED">
        <w:rPr>
          <w:rFonts w:ascii="Arial" w:hAnsi="Arial" w:cs="Arial"/>
        </w:rPr>
        <w:t xml:space="preserve"> on the workflow, process, issues arising and interpretation of the wireline logs.</w:t>
      </w:r>
    </w:p>
    <w:p w14:paraId="0599B9A2" w14:textId="5C746B93" w:rsidR="0096135C" w:rsidRPr="000915ED" w:rsidRDefault="0096135C" w:rsidP="00AB3A69">
      <w:pPr>
        <w:spacing w:before="120" w:after="80"/>
        <w:jc w:val="both"/>
        <w:rPr>
          <w:rFonts w:ascii="Arial" w:hAnsi="Arial" w:cs="Arial"/>
          <w:b/>
          <w:i/>
          <w:color w:val="31849B"/>
        </w:rPr>
      </w:pPr>
      <w:r w:rsidRPr="000915ED">
        <w:rPr>
          <w:rFonts w:ascii="Arial" w:hAnsi="Arial" w:cs="Arial"/>
          <w:b/>
          <w:i/>
          <w:color w:val="31849B"/>
        </w:rPr>
        <w:t>Work Program</w:t>
      </w:r>
    </w:p>
    <w:p w14:paraId="5077B0BD" w14:textId="77777777" w:rsidR="00830A62" w:rsidRPr="000915ED" w:rsidRDefault="00830A62" w:rsidP="00AB3A69">
      <w:pPr>
        <w:pStyle w:val="CTSCoBulletLevel1"/>
        <w:spacing w:before="120" w:line="276" w:lineRule="auto"/>
        <w:ind w:left="644" w:hanging="360"/>
        <w:jc w:val="both"/>
        <w:rPr>
          <w:rFonts w:ascii="Arial" w:hAnsi="Arial" w:cs="Arial"/>
        </w:rPr>
      </w:pPr>
      <w:r w:rsidRPr="000915ED">
        <w:rPr>
          <w:rFonts w:ascii="Arial" w:hAnsi="Arial" w:cs="Arial"/>
        </w:rPr>
        <w:t>Literature review of currently available wireline log techniques for the vintages of available wireline logs.</w:t>
      </w:r>
    </w:p>
    <w:p w14:paraId="1AC4214C" w14:textId="77777777" w:rsidR="00830A62" w:rsidRPr="000915ED" w:rsidRDefault="00830A62" w:rsidP="00AB3A69">
      <w:pPr>
        <w:pStyle w:val="CTSCoBulletLevel1"/>
        <w:spacing w:before="120" w:line="276" w:lineRule="auto"/>
        <w:ind w:left="644" w:hanging="360"/>
        <w:jc w:val="both"/>
        <w:rPr>
          <w:rFonts w:ascii="Arial" w:hAnsi="Arial" w:cs="Arial"/>
        </w:rPr>
      </w:pPr>
      <w:r w:rsidRPr="000915ED">
        <w:rPr>
          <w:rFonts w:ascii="Arial" w:hAnsi="Arial" w:cs="Arial"/>
        </w:rPr>
        <w:t>Establish the available Project Control Wells and their log suites for samples of known Precipice water salinity (in co-operation with the Proponent).</w:t>
      </w:r>
    </w:p>
    <w:p w14:paraId="713E23E4" w14:textId="77777777" w:rsidR="00830A62" w:rsidRPr="000915ED" w:rsidRDefault="00830A62" w:rsidP="00AB3A69">
      <w:pPr>
        <w:pStyle w:val="CTSCoBulletLevel1"/>
        <w:spacing w:before="120" w:line="276" w:lineRule="auto"/>
        <w:ind w:left="644" w:hanging="360"/>
        <w:jc w:val="both"/>
        <w:rPr>
          <w:rFonts w:ascii="Arial" w:hAnsi="Arial" w:cs="Arial"/>
        </w:rPr>
      </w:pPr>
      <w:r w:rsidRPr="000915ED">
        <w:rPr>
          <w:rFonts w:ascii="Arial" w:hAnsi="Arial" w:cs="Arial"/>
        </w:rPr>
        <w:t>Quality control (processing, depth correction, environmental correction, normalization as required etc.) of the relevant Project Control Well logs.</w:t>
      </w:r>
    </w:p>
    <w:p w14:paraId="77F3E660" w14:textId="77777777" w:rsidR="00830A62" w:rsidRPr="000915ED" w:rsidRDefault="00830A62" w:rsidP="00AB3A69">
      <w:pPr>
        <w:pStyle w:val="CTSCoBulletLevel1"/>
        <w:spacing w:before="120" w:line="276" w:lineRule="auto"/>
        <w:ind w:left="644" w:hanging="360"/>
        <w:jc w:val="both"/>
        <w:rPr>
          <w:rFonts w:ascii="Arial" w:hAnsi="Arial" w:cs="Arial"/>
        </w:rPr>
      </w:pPr>
      <w:r w:rsidRPr="000915ED">
        <w:rPr>
          <w:rFonts w:ascii="Arial" w:hAnsi="Arial" w:cs="Arial"/>
        </w:rPr>
        <w:t>Correlate the wireline logs and properties estimated from them with water salinity</w:t>
      </w:r>
    </w:p>
    <w:p w14:paraId="62D9D726" w14:textId="77777777" w:rsidR="00830A62" w:rsidRPr="000915ED" w:rsidRDefault="00830A62" w:rsidP="00AB3A69">
      <w:pPr>
        <w:pStyle w:val="CTSCoBulletLevel1"/>
        <w:spacing w:before="120" w:line="276" w:lineRule="auto"/>
        <w:ind w:left="644" w:hanging="360"/>
        <w:jc w:val="both"/>
        <w:rPr>
          <w:rFonts w:ascii="Arial" w:hAnsi="Arial" w:cs="Arial"/>
        </w:rPr>
      </w:pPr>
      <w:r w:rsidRPr="000915ED">
        <w:rPr>
          <w:rFonts w:ascii="Arial" w:hAnsi="Arial" w:cs="Arial"/>
        </w:rPr>
        <w:t>Assess the range of uncertainty in the derived salinity estimate</w:t>
      </w:r>
    </w:p>
    <w:p w14:paraId="1C4B655D" w14:textId="69009BA2" w:rsidR="00DC103E" w:rsidRPr="00FF70E5" w:rsidRDefault="00830A62" w:rsidP="00FF70E5">
      <w:pPr>
        <w:pStyle w:val="CTSCoBulletLevel1"/>
        <w:spacing w:before="120" w:line="276" w:lineRule="auto"/>
        <w:ind w:left="644" w:hanging="360"/>
        <w:jc w:val="both"/>
        <w:rPr>
          <w:rFonts w:ascii="Arial" w:hAnsi="Arial" w:cs="Arial"/>
        </w:rPr>
      </w:pPr>
      <w:r w:rsidRPr="000915ED">
        <w:rPr>
          <w:rFonts w:ascii="Arial" w:hAnsi="Arial" w:cs="Arial"/>
        </w:rPr>
        <w:t>Apply the methodology to the remaining wells in the southern Surat and derive LAS files for each such well that includes the wireline logs and derived Precipice Sandstone salinity.</w:t>
      </w:r>
    </w:p>
    <w:p w14:paraId="73BD702F" w14:textId="48C88D11" w:rsidR="00830A62" w:rsidRPr="000915ED" w:rsidRDefault="0096135C" w:rsidP="00AB3A69">
      <w:pPr>
        <w:spacing w:before="120" w:after="80"/>
        <w:jc w:val="both"/>
        <w:rPr>
          <w:rFonts w:ascii="Arial" w:hAnsi="Arial" w:cs="Arial"/>
          <w:b/>
          <w:i/>
          <w:color w:val="31849B"/>
          <w:szCs w:val="22"/>
          <w:lang w:eastAsia="en-AU" w:bidi="ar-SA"/>
        </w:rPr>
      </w:pPr>
      <w:r w:rsidRPr="000915ED">
        <w:rPr>
          <w:rFonts w:ascii="Arial" w:hAnsi="Arial" w:cs="Arial"/>
          <w:b/>
          <w:i/>
          <w:color w:val="31849B"/>
          <w:szCs w:val="22"/>
          <w:lang w:eastAsia="en-AU" w:bidi="ar-SA"/>
        </w:rPr>
        <w:t>Milestones</w:t>
      </w:r>
    </w:p>
    <w:p w14:paraId="24756A4E" w14:textId="77777777" w:rsidR="00830A62" w:rsidRPr="00AB3A69" w:rsidRDefault="00830A62" w:rsidP="00FF70E5">
      <w:pPr>
        <w:pStyle w:val="Heading3"/>
        <w:numPr>
          <w:ilvl w:val="0"/>
          <w:numId w:val="0"/>
        </w:numPr>
        <w:spacing w:before="0" w:after="0" w:line="276" w:lineRule="auto"/>
        <w:ind w:left="680" w:hanging="680"/>
        <w:jc w:val="both"/>
        <w:rPr>
          <w:rFonts w:ascii="Arial" w:hAnsi="Arial" w:cs="Arial"/>
          <w:b w:val="0"/>
          <w:sz w:val="20"/>
        </w:rPr>
      </w:pPr>
      <w:bookmarkStart w:id="1" w:name="_Toc522779380"/>
      <w:r w:rsidRPr="00AB3A69">
        <w:rPr>
          <w:rFonts w:ascii="Arial" w:hAnsi="Arial" w:cs="Arial"/>
          <w:b w:val="0"/>
          <w:sz w:val="20"/>
        </w:rPr>
        <w:lastRenderedPageBreak/>
        <w:t>Milestone 1: Literature review</w:t>
      </w:r>
      <w:bookmarkEnd w:id="1"/>
    </w:p>
    <w:p w14:paraId="37B1C62D" w14:textId="77777777" w:rsidR="00830A62" w:rsidRPr="00AB3A69" w:rsidRDefault="00830A62" w:rsidP="00FF70E5">
      <w:pPr>
        <w:pStyle w:val="Heading3"/>
        <w:numPr>
          <w:ilvl w:val="0"/>
          <w:numId w:val="0"/>
        </w:numPr>
        <w:spacing w:before="0" w:after="0" w:line="276" w:lineRule="auto"/>
        <w:ind w:left="680" w:hanging="680"/>
        <w:jc w:val="both"/>
        <w:rPr>
          <w:rFonts w:ascii="Arial" w:hAnsi="Arial" w:cs="Arial"/>
          <w:b w:val="0"/>
          <w:sz w:val="20"/>
        </w:rPr>
      </w:pPr>
      <w:bookmarkStart w:id="2" w:name="_Toc522779381"/>
      <w:r w:rsidRPr="00AB3A69">
        <w:rPr>
          <w:rFonts w:ascii="Arial" w:hAnsi="Arial" w:cs="Arial"/>
          <w:b w:val="0"/>
          <w:sz w:val="20"/>
        </w:rPr>
        <w:t>Milestone 2: Identify and Quality Control the Control Wells and water samples</w:t>
      </w:r>
      <w:bookmarkEnd w:id="2"/>
    </w:p>
    <w:p w14:paraId="32BD906F" w14:textId="77777777" w:rsidR="00830A62" w:rsidRPr="00AB3A69" w:rsidRDefault="00830A62" w:rsidP="00FF70E5">
      <w:pPr>
        <w:pStyle w:val="Heading3"/>
        <w:numPr>
          <w:ilvl w:val="0"/>
          <w:numId w:val="0"/>
        </w:numPr>
        <w:spacing w:before="0" w:after="0" w:line="276" w:lineRule="auto"/>
        <w:ind w:left="680" w:hanging="680"/>
        <w:jc w:val="both"/>
        <w:rPr>
          <w:rFonts w:ascii="Arial" w:hAnsi="Arial" w:cs="Arial"/>
          <w:b w:val="0"/>
          <w:sz w:val="20"/>
        </w:rPr>
      </w:pPr>
      <w:bookmarkStart w:id="3" w:name="_Toc522779382"/>
      <w:r w:rsidRPr="00AB3A69">
        <w:rPr>
          <w:rFonts w:ascii="Arial" w:hAnsi="Arial" w:cs="Arial"/>
          <w:b w:val="0"/>
          <w:sz w:val="20"/>
        </w:rPr>
        <w:t>Milestone 3: Correlate wireline logs with water salinity for Control Wells</w:t>
      </w:r>
      <w:bookmarkEnd w:id="3"/>
    </w:p>
    <w:p w14:paraId="5D2D17D0" w14:textId="77777777" w:rsidR="00830A62" w:rsidRPr="00AB3A69" w:rsidRDefault="00830A62" w:rsidP="00FF70E5">
      <w:pPr>
        <w:pStyle w:val="Heading3"/>
        <w:numPr>
          <w:ilvl w:val="0"/>
          <w:numId w:val="0"/>
        </w:numPr>
        <w:spacing w:before="0" w:after="0" w:line="276" w:lineRule="auto"/>
        <w:ind w:left="680" w:hanging="680"/>
        <w:jc w:val="both"/>
        <w:rPr>
          <w:rFonts w:ascii="Arial" w:hAnsi="Arial" w:cs="Arial"/>
          <w:b w:val="0"/>
          <w:sz w:val="20"/>
        </w:rPr>
      </w:pPr>
      <w:bookmarkStart w:id="4" w:name="_Toc522779383"/>
      <w:r w:rsidRPr="00AB3A69">
        <w:rPr>
          <w:rFonts w:ascii="Arial" w:hAnsi="Arial" w:cs="Arial"/>
          <w:b w:val="0"/>
          <w:sz w:val="20"/>
        </w:rPr>
        <w:t>Milestone 4: Apply the “SP vs Salinity” Petrophysical workflow</w:t>
      </w:r>
      <w:bookmarkEnd w:id="4"/>
    </w:p>
    <w:p w14:paraId="50D8B3C5" w14:textId="77777777" w:rsidR="0096135C" w:rsidRPr="000915ED" w:rsidRDefault="0096135C" w:rsidP="00AB3A69">
      <w:pPr>
        <w:spacing w:before="120"/>
        <w:jc w:val="both"/>
        <w:rPr>
          <w:rFonts w:ascii="Arial" w:hAnsi="Arial" w:cs="Arial"/>
          <w:szCs w:val="22"/>
          <w:lang w:eastAsia="en-AU" w:bidi="ar-SA"/>
        </w:rPr>
      </w:pPr>
    </w:p>
    <w:sectPr w:rsidR="0096135C" w:rsidRPr="000915ED"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734A398A"/>
    <w:lvl w:ilvl="0" w:tplc="F0769E5E">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0D1"/>
    <w:multiLevelType w:val="hybridMultilevel"/>
    <w:tmpl w:val="F21267DE"/>
    <w:lvl w:ilvl="0" w:tplc="10724E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EA330C"/>
    <w:multiLevelType w:val="hybridMultilevel"/>
    <w:tmpl w:val="468CB6BC"/>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rgUAkO0a6SwAAAA="/>
  </w:docVars>
  <w:rsids>
    <w:rsidRoot w:val="0096135C"/>
    <w:rsid w:val="00050F6E"/>
    <w:rsid w:val="000915ED"/>
    <w:rsid w:val="000A2C14"/>
    <w:rsid w:val="000C3F8D"/>
    <w:rsid w:val="000C57EE"/>
    <w:rsid w:val="00177A7A"/>
    <w:rsid w:val="001819B9"/>
    <w:rsid w:val="001976DD"/>
    <w:rsid w:val="001E713B"/>
    <w:rsid w:val="00236E10"/>
    <w:rsid w:val="002411E4"/>
    <w:rsid w:val="0027463C"/>
    <w:rsid w:val="00284550"/>
    <w:rsid w:val="002B721C"/>
    <w:rsid w:val="002E5AD4"/>
    <w:rsid w:val="0031753C"/>
    <w:rsid w:val="00373864"/>
    <w:rsid w:val="00405AB7"/>
    <w:rsid w:val="0043037E"/>
    <w:rsid w:val="00436E76"/>
    <w:rsid w:val="004A2FF1"/>
    <w:rsid w:val="00581D1A"/>
    <w:rsid w:val="00586ED4"/>
    <w:rsid w:val="005A42B8"/>
    <w:rsid w:val="00601B9B"/>
    <w:rsid w:val="0065159D"/>
    <w:rsid w:val="0067423B"/>
    <w:rsid w:val="006D1E48"/>
    <w:rsid w:val="006D216C"/>
    <w:rsid w:val="00710A18"/>
    <w:rsid w:val="00712F5F"/>
    <w:rsid w:val="00783318"/>
    <w:rsid w:val="007B4090"/>
    <w:rsid w:val="007D28AC"/>
    <w:rsid w:val="007E7F1E"/>
    <w:rsid w:val="00813D29"/>
    <w:rsid w:val="00830A62"/>
    <w:rsid w:val="00871D8F"/>
    <w:rsid w:val="008832F6"/>
    <w:rsid w:val="008D787A"/>
    <w:rsid w:val="008F7822"/>
    <w:rsid w:val="009234E9"/>
    <w:rsid w:val="00923F14"/>
    <w:rsid w:val="0096135C"/>
    <w:rsid w:val="009E10A7"/>
    <w:rsid w:val="009F503E"/>
    <w:rsid w:val="00A65124"/>
    <w:rsid w:val="00A6572F"/>
    <w:rsid w:val="00AB3A69"/>
    <w:rsid w:val="00AB716F"/>
    <w:rsid w:val="00AC50A9"/>
    <w:rsid w:val="00B621B8"/>
    <w:rsid w:val="00B75A61"/>
    <w:rsid w:val="00B9468F"/>
    <w:rsid w:val="00BB2ED7"/>
    <w:rsid w:val="00BC4F62"/>
    <w:rsid w:val="00BE5136"/>
    <w:rsid w:val="00C01E98"/>
    <w:rsid w:val="00C060C7"/>
    <w:rsid w:val="00C25092"/>
    <w:rsid w:val="00C32707"/>
    <w:rsid w:val="00C36316"/>
    <w:rsid w:val="00C41B71"/>
    <w:rsid w:val="00CA273B"/>
    <w:rsid w:val="00CA631D"/>
    <w:rsid w:val="00D27A5E"/>
    <w:rsid w:val="00DC103E"/>
    <w:rsid w:val="00DD2402"/>
    <w:rsid w:val="00E30916"/>
    <w:rsid w:val="00E95684"/>
    <w:rsid w:val="00FF7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601B9B"/>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9</cp:revision>
  <dcterms:created xsi:type="dcterms:W3CDTF">2018-09-04T02:04:00Z</dcterms:created>
  <dcterms:modified xsi:type="dcterms:W3CDTF">2018-09-24T06:01:00Z</dcterms:modified>
</cp:coreProperties>
</file>