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7"/>
        <w:gridCol w:w="3827"/>
        <w:gridCol w:w="3544"/>
      </w:tblGrid>
      <w:tr w:rsidR="0096135C" w:rsidRPr="0016717B" w14:paraId="31B40C62" w14:textId="77777777" w:rsidTr="0016717B">
        <w:trPr>
          <w:trHeight w:val="1036"/>
        </w:trPr>
        <w:tc>
          <w:tcPr>
            <w:tcW w:w="7054" w:type="dxa"/>
            <w:gridSpan w:val="2"/>
            <w:shd w:val="clear" w:color="auto" w:fill="31849B"/>
            <w:vAlign w:val="center"/>
          </w:tcPr>
          <w:p w14:paraId="2CA3C2DA" w14:textId="3A0BD8C5" w:rsidR="00A565B2" w:rsidRPr="0016717B" w:rsidRDefault="0096135C" w:rsidP="0016717B">
            <w:pPr>
              <w:spacing w:before="0" w:after="80"/>
              <w:jc w:val="both"/>
              <w:rPr>
                <w:rFonts w:ascii="Arial" w:hAnsi="Arial" w:cs="Arial"/>
              </w:rPr>
            </w:pPr>
            <w:r w:rsidRPr="0016717B">
              <w:rPr>
                <w:rFonts w:ascii="Arial" w:hAnsi="Arial" w:cs="Arial"/>
                <w:color w:val="FFFFFF"/>
              </w:rPr>
              <w:t xml:space="preserve">Title: </w:t>
            </w:r>
            <w:r w:rsidR="00A565B2" w:rsidRPr="0016717B">
              <w:rPr>
                <w:rFonts w:ascii="Arial" w:hAnsi="Arial" w:cs="Arial"/>
                <w:color w:val="FFFFFF" w:themeColor="background1"/>
              </w:rPr>
              <w:t>Precipice Sandstone groundwater salinity estimated from CSEM</w:t>
            </w:r>
          </w:p>
          <w:p w14:paraId="505F9C12" w14:textId="34B97A5A" w:rsidR="0096135C" w:rsidRPr="0016717B" w:rsidRDefault="0096135C" w:rsidP="0016717B">
            <w:pPr>
              <w:spacing w:before="0" w:after="80"/>
              <w:jc w:val="both"/>
              <w:rPr>
                <w:rFonts w:ascii="Arial" w:hAnsi="Arial" w:cs="Arial"/>
                <w:color w:val="FFFFFF"/>
              </w:rPr>
            </w:pPr>
            <w:r w:rsidRPr="0016717B">
              <w:rPr>
                <w:rFonts w:ascii="Arial" w:hAnsi="Arial" w:cs="Arial"/>
                <w:color w:val="FFFFFF"/>
              </w:rPr>
              <w:t xml:space="preserve">Project Leader: </w:t>
            </w:r>
          </w:p>
        </w:tc>
        <w:tc>
          <w:tcPr>
            <w:tcW w:w="3544" w:type="dxa"/>
            <w:shd w:val="clear" w:color="auto" w:fill="31849B"/>
            <w:vAlign w:val="center"/>
          </w:tcPr>
          <w:p w14:paraId="7EF34A0F" w14:textId="77777777" w:rsidR="0096135C" w:rsidRPr="0016717B" w:rsidRDefault="0096135C" w:rsidP="0016717B">
            <w:pPr>
              <w:spacing w:before="120" w:after="80"/>
              <w:jc w:val="both"/>
              <w:rPr>
                <w:rFonts w:ascii="Arial" w:hAnsi="Arial" w:cs="Arial"/>
                <w:color w:val="FFFFFF"/>
              </w:rPr>
            </w:pPr>
            <w:r w:rsidRPr="0016717B">
              <w:rPr>
                <w:rFonts w:ascii="Arial" w:hAnsi="Arial" w:cs="Arial"/>
                <w:color w:val="FFFFFF"/>
              </w:rPr>
              <w:t xml:space="preserve">Demonstration Project: </w:t>
            </w:r>
          </w:p>
          <w:p w14:paraId="566D1463" w14:textId="7CA79ED8" w:rsidR="0096135C" w:rsidRPr="0016717B" w:rsidRDefault="0016717B" w:rsidP="0016717B">
            <w:pPr>
              <w:spacing w:before="120" w:after="80"/>
              <w:jc w:val="both"/>
              <w:rPr>
                <w:rFonts w:ascii="Arial" w:hAnsi="Arial" w:cs="Arial"/>
                <w:color w:val="FFFFFF"/>
              </w:rPr>
            </w:pPr>
            <w:r>
              <w:rPr>
                <w:rFonts w:ascii="Arial" w:hAnsi="Arial" w:cs="Arial"/>
                <w:color w:val="FFFFFF"/>
              </w:rPr>
              <w:t>CTSCo</w:t>
            </w:r>
          </w:p>
        </w:tc>
      </w:tr>
      <w:tr w:rsidR="0096135C" w:rsidRPr="0016717B" w14:paraId="07054E16" w14:textId="77777777" w:rsidTr="0016717B">
        <w:tblPrEx>
          <w:shd w:val="clear" w:color="auto" w:fill="FABF8F"/>
        </w:tblPrEx>
        <w:tc>
          <w:tcPr>
            <w:tcW w:w="3227" w:type="dxa"/>
            <w:shd w:val="clear" w:color="auto" w:fill="31849B"/>
            <w:vAlign w:val="center"/>
          </w:tcPr>
          <w:p w14:paraId="634BCD16" w14:textId="7D454531" w:rsidR="0096135C" w:rsidRPr="0016717B" w:rsidRDefault="0096135C" w:rsidP="0016717B">
            <w:pPr>
              <w:spacing w:before="120" w:after="80"/>
              <w:jc w:val="both"/>
              <w:rPr>
                <w:rFonts w:ascii="Arial" w:hAnsi="Arial" w:cs="Arial"/>
                <w:color w:val="FFFFFF"/>
              </w:rPr>
            </w:pPr>
            <w:r w:rsidRPr="0016717B">
              <w:rPr>
                <w:rFonts w:ascii="Arial" w:hAnsi="Arial" w:cs="Arial"/>
                <w:color w:val="FFFFFF"/>
              </w:rPr>
              <w:t xml:space="preserve">Project Number: </w:t>
            </w:r>
          </w:p>
          <w:p w14:paraId="6E07BBC0" w14:textId="17CDEE63" w:rsidR="0096135C" w:rsidRPr="0016717B" w:rsidRDefault="0096135C" w:rsidP="0016717B">
            <w:pPr>
              <w:spacing w:before="120" w:after="80"/>
              <w:jc w:val="both"/>
              <w:rPr>
                <w:rFonts w:ascii="Arial" w:hAnsi="Arial" w:cs="Arial"/>
                <w:color w:val="FFFFFF"/>
              </w:rPr>
            </w:pPr>
            <w:r w:rsidRPr="0016717B">
              <w:rPr>
                <w:rFonts w:ascii="Arial" w:hAnsi="Arial" w:cs="Arial"/>
                <w:color w:val="FFFFFF"/>
              </w:rPr>
              <w:t>Status: Under Development</w:t>
            </w:r>
          </w:p>
        </w:tc>
        <w:tc>
          <w:tcPr>
            <w:tcW w:w="3827" w:type="dxa"/>
            <w:shd w:val="clear" w:color="auto" w:fill="31849B"/>
            <w:vAlign w:val="center"/>
          </w:tcPr>
          <w:p w14:paraId="39BAB122" w14:textId="720EED33" w:rsidR="0096135C" w:rsidRPr="0016717B" w:rsidRDefault="0096135C" w:rsidP="0016717B">
            <w:pPr>
              <w:spacing w:before="120" w:after="80"/>
              <w:jc w:val="both"/>
              <w:rPr>
                <w:rFonts w:ascii="Arial" w:hAnsi="Arial" w:cs="Arial"/>
                <w:color w:val="FFFFFF"/>
              </w:rPr>
            </w:pPr>
            <w:r w:rsidRPr="0016717B">
              <w:rPr>
                <w:rFonts w:ascii="Arial" w:hAnsi="Arial" w:cs="Arial"/>
                <w:color w:val="FFFFFF"/>
              </w:rPr>
              <w:t xml:space="preserve">Commencement: </w:t>
            </w:r>
            <w:r w:rsidR="00AC50A9" w:rsidRPr="0016717B">
              <w:rPr>
                <w:rFonts w:ascii="Arial" w:hAnsi="Arial" w:cs="Arial"/>
                <w:color w:val="FFFFFF"/>
              </w:rPr>
              <w:t>2018</w:t>
            </w:r>
          </w:p>
          <w:p w14:paraId="4A2A2CE8" w14:textId="41AEA946" w:rsidR="0096135C" w:rsidRPr="0016717B" w:rsidRDefault="0096135C" w:rsidP="0016717B">
            <w:pPr>
              <w:spacing w:before="120" w:after="80"/>
              <w:jc w:val="both"/>
              <w:rPr>
                <w:rFonts w:ascii="Arial" w:hAnsi="Arial" w:cs="Arial"/>
                <w:color w:val="FFFFFF"/>
              </w:rPr>
            </w:pPr>
            <w:r w:rsidRPr="0016717B">
              <w:rPr>
                <w:rFonts w:ascii="Arial" w:hAnsi="Arial" w:cs="Arial"/>
                <w:color w:val="FFFFFF"/>
              </w:rPr>
              <w:t xml:space="preserve">Completion: </w:t>
            </w:r>
          </w:p>
        </w:tc>
        <w:tc>
          <w:tcPr>
            <w:tcW w:w="3544" w:type="dxa"/>
            <w:shd w:val="clear" w:color="auto" w:fill="31849B"/>
            <w:vAlign w:val="center"/>
          </w:tcPr>
          <w:p w14:paraId="201D54AE" w14:textId="77777777" w:rsidR="00AC50A9" w:rsidRPr="0016717B" w:rsidRDefault="0096135C" w:rsidP="0016717B">
            <w:pPr>
              <w:spacing w:before="120" w:after="80"/>
              <w:jc w:val="both"/>
              <w:rPr>
                <w:rFonts w:ascii="Arial" w:hAnsi="Arial" w:cs="Arial"/>
                <w:color w:val="FFFFFF"/>
              </w:rPr>
            </w:pPr>
            <w:r w:rsidRPr="0016717B">
              <w:rPr>
                <w:rFonts w:ascii="Arial" w:hAnsi="Arial" w:cs="Arial"/>
                <w:color w:val="FFFFFF"/>
              </w:rPr>
              <w:t xml:space="preserve">Total Budget: </w:t>
            </w:r>
          </w:p>
          <w:p w14:paraId="41196A06" w14:textId="2046660A" w:rsidR="0096135C" w:rsidRPr="0016717B" w:rsidRDefault="0096135C" w:rsidP="0016717B">
            <w:pPr>
              <w:spacing w:before="120" w:after="80"/>
              <w:jc w:val="both"/>
              <w:rPr>
                <w:rFonts w:ascii="Arial" w:hAnsi="Arial" w:cs="Arial"/>
                <w:color w:val="FFFFFF"/>
              </w:rPr>
            </w:pPr>
            <w:r w:rsidRPr="0016717B">
              <w:rPr>
                <w:rFonts w:ascii="Arial" w:hAnsi="Arial" w:cs="Arial"/>
                <w:color w:val="FFFFFF"/>
              </w:rPr>
              <w:t xml:space="preserve">ANLEC R&amp;D Contribution: </w:t>
            </w:r>
          </w:p>
        </w:tc>
      </w:tr>
    </w:tbl>
    <w:p w14:paraId="719156AA" w14:textId="77777777" w:rsidR="0096135C" w:rsidRPr="0016717B" w:rsidRDefault="0096135C" w:rsidP="0016717B">
      <w:pPr>
        <w:spacing w:before="80" w:after="80"/>
        <w:jc w:val="both"/>
        <w:rPr>
          <w:rFonts w:ascii="Arial" w:hAnsi="Arial" w:cs="Arial"/>
          <w:b/>
          <w:i/>
          <w:color w:val="31849B"/>
        </w:rPr>
      </w:pPr>
      <w:r w:rsidRPr="0016717B">
        <w:rPr>
          <w:rFonts w:ascii="Arial" w:hAnsi="Arial" w:cs="Arial"/>
          <w:b/>
          <w:i/>
          <w:color w:val="31849B"/>
        </w:rPr>
        <w:t>The Context</w:t>
      </w:r>
    </w:p>
    <w:p w14:paraId="11521B37" w14:textId="562FD087" w:rsidR="006B4880" w:rsidRPr="0016717B" w:rsidRDefault="006B4880" w:rsidP="0016717B">
      <w:pPr>
        <w:pStyle w:val="CTSCoBodytext"/>
        <w:jc w:val="both"/>
        <w:rPr>
          <w:rFonts w:ascii="Arial" w:hAnsi="Arial" w:cs="Arial"/>
        </w:rPr>
      </w:pPr>
      <w:r w:rsidRPr="0016717B">
        <w:rPr>
          <w:rFonts w:ascii="Arial" w:hAnsi="Arial" w:cs="Arial"/>
        </w:rPr>
        <w:t>The salinity of the Precipice Sandstone is an important constraint on the stakeholder support and regulatory approval for the Surat Basin as a potential carbon geosequestration storage site. Deep groundwater salinity is generally derived from laboratory analysis of groundwater samples collected by petroleum exploration drilling.</w:t>
      </w:r>
      <w:r w:rsidR="00B11F08">
        <w:rPr>
          <w:rFonts w:ascii="Arial" w:hAnsi="Arial" w:cs="Arial"/>
        </w:rPr>
        <w:t xml:space="preserve"> </w:t>
      </w:r>
      <w:r w:rsidRPr="0016717B">
        <w:rPr>
          <w:rFonts w:ascii="Arial" w:hAnsi="Arial" w:cs="Arial"/>
        </w:rPr>
        <w:t>In the southern Surat Basin there are very few petroleum wells in the area of geosequestration interest, and of the available wells, many of the recovered water samples are heavily contaminated with drilling mud filtrate. Also, many of the petroleum wells were drilled in 1960-1970s and therefore have only basic wireline logs.</w:t>
      </w:r>
    </w:p>
    <w:p w14:paraId="69ECB2ED" w14:textId="4AE41E26" w:rsidR="00A565B2" w:rsidRPr="00B11F08" w:rsidRDefault="0016717B" w:rsidP="00B11F08">
      <w:pPr>
        <w:pStyle w:val="CTSCoBodytext"/>
        <w:jc w:val="both"/>
        <w:rPr>
          <w:rFonts w:ascii="Arial" w:hAnsi="Arial" w:cs="Arial"/>
        </w:rPr>
      </w:pPr>
      <w:r w:rsidRPr="0016717B">
        <w:rPr>
          <w:rFonts w:ascii="Arial" w:hAnsi="Arial" w:cs="Arial"/>
        </w:rPr>
        <w:t xml:space="preserve">This </w:t>
      </w:r>
      <w:r w:rsidR="00D251E5">
        <w:rPr>
          <w:rFonts w:ascii="Arial" w:hAnsi="Arial" w:cs="Arial"/>
        </w:rPr>
        <w:t xml:space="preserve">project </w:t>
      </w:r>
      <w:r w:rsidRPr="0016717B">
        <w:rPr>
          <w:rFonts w:ascii="Arial" w:hAnsi="Arial" w:cs="Arial"/>
        </w:rPr>
        <w:t>is a desktop modelling exercise of representative rock and fluid properties from surface to Base Precipice Sandstone under a range of depths from near outcrop to 2.5 km in the southern Surat Basin.</w:t>
      </w:r>
    </w:p>
    <w:p w14:paraId="4DF8DE7E" w14:textId="41667AFB" w:rsidR="0096135C" w:rsidRPr="0016717B" w:rsidRDefault="0096135C" w:rsidP="0016717B">
      <w:pPr>
        <w:spacing w:before="0" w:after="0"/>
        <w:jc w:val="both"/>
        <w:rPr>
          <w:rFonts w:ascii="Arial" w:hAnsi="Arial" w:cs="Arial"/>
          <w:b/>
          <w:i/>
          <w:color w:val="31849B"/>
        </w:rPr>
      </w:pPr>
      <w:r w:rsidRPr="0016717B">
        <w:rPr>
          <w:rFonts w:ascii="Arial" w:hAnsi="Arial" w:cs="Arial"/>
          <w:b/>
          <w:i/>
          <w:color w:val="31849B"/>
        </w:rPr>
        <w:t>Unknowns</w:t>
      </w:r>
    </w:p>
    <w:p w14:paraId="65E8A4C8" w14:textId="7E61CD6F" w:rsidR="00A565B2" w:rsidRPr="0016717B" w:rsidRDefault="00FF4358" w:rsidP="0016717B">
      <w:pPr>
        <w:pStyle w:val="CTSCoBodytext"/>
        <w:jc w:val="both"/>
        <w:rPr>
          <w:rFonts w:ascii="Arial" w:hAnsi="Arial" w:cs="Arial"/>
        </w:rPr>
      </w:pPr>
      <w:r w:rsidRPr="0016717B">
        <w:rPr>
          <w:rFonts w:ascii="Arial" w:hAnsi="Arial" w:cs="Arial"/>
        </w:rPr>
        <w:t>The salinity of the groundwater in the Precipice Sandstone in the axis of the Mimosa Synline in the southern Surat Basin and how to assess it from surface-based geophysical methods</w:t>
      </w:r>
      <w:r w:rsidR="0016717B">
        <w:rPr>
          <w:rFonts w:ascii="Arial" w:hAnsi="Arial" w:cs="Arial"/>
        </w:rPr>
        <w:t>.</w:t>
      </w:r>
    </w:p>
    <w:p w14:paraId="22BE157A" w14:textId="76526616" w:rsidR="0096135C" w:rsidRPr="0016717B" w:rsidRDefault="0096135C" w:rsidP="0016717B">
      <w:pPr>
        <w:spacing w:before="80" w:after="80"/>
        <w:jc w:val="both"/>
        <w:rPr>
          <w:rFonts w:ascii="Arial" w:hAnsi="Arial" w:cs="Arial"/>
          <w:b/>
          <w:i/>
          <w:color w:val="31849B"/>
        </w:rPr>
      </w:pPr>
      <w:r w:rsidRPr="0016717B">
        <w:rPr>
          <w:rFonts w:ascii="Arial" w:hAnsi="Arial" w:cs="Arial"/>
          <w:b/>
          <w:i/>
          <w:color w:val="31849B"/>
        </w:rPr>
        <w:t>Research Objective</w:t>
      </w:r>
      <w:bookmarkStart w:id="0" w:name="_GoBack"/>
      <w:bookmarkEnd w:id="0"/>
    </w:p>
    <w:p w14:paraId="00F801DC" w14:textId="4C3290A6" w:rsidR="0067423B" w:rsidRPr="0016717B" w:rsidRDefault="0016717B" w:rsidP="0016717B">
      <w:pPr>
        <w:spacing w:before="80" w:after="80"/>
        <w:jc w:val="both"/>
        <w:rPr>
          <w:rFonts w:ascii="Arial" w:hAnsi="Arial" w:cs="Arial"/>
        </w:rPr>
      </w:pPr>
      <w:r>
        <w:rPr>
          <w:rFonts w:ascii="Arial" w:hAnsi="Arial" w:cs="Arial"/>
        </w:rPr>
        <w:t xml:space="preserve">This project aims to </w:t>
      </w:r>
      <w:r w:rsidRPr="0016717B">
        <w:rPr>
          <w:rFonts w:ascii="Arial" w:hAnsi="Arial" w:cs="Arial"/>
        </w:rPr>
        <w:t>map the distribution of the potable/non-potable Precipice Sandstone groundwater in the southern Surat Basin</w:t>
      </w:r>
      <w:r w:rsidR="00B11F08">
        <w:rPr>
          <w:rFonts w:ascii="Arial" w:hAnsi="Arial" w:cs="Arial"/>
        </w:rPr>
        <w:t xml:space="preserve"> through CSEM salinity modelling.</w:t>
      </w:r>
    </w:p>
    <w:p w14:paraId="7AAFED17" w14:textId="0BB6DD5E" w:rsidR="00A565B2" w:rsidRDefault="0016717B" w:rsidP="0016717B">
      <w:pPr>
        <w:spacing w:before="80" w:after="80"/>
        <w:jc w:val="both"/>
        <w:rPr>
          <w:rFonts w:ascii="Arial" w:hAnsi="Arial" w:cs="Arial"/>
          <w:b/>
          <w:i/>
          <w:color w:val="31849B"/>
        </w:rPr>
      </w:pPr>
      <w:r>
        <w:rPr>
          <w:rFonts w:ascii="Arial" w:hAnsi="Arial" w:cs="Arial"/>
          <w:b/>
          <w:i/>
          <w:color w:val="31849B"/>
        </w:rPr>
        <w:t>New Knowledge</w:t>
      </w:r>
    </w:p>
    <w:p w14:paraId="6A88B26C" w14:textId="27EDB5AA" w:rsidR="0016717B" w:rsidRPr="0016717B" w:rsidRDefault="0016717B" w:rsidP="0016717B">
      <w:pPr>
        <w:pStyle w:val="CTSCoBulletLevel1"/>
        <w:numPr>
          <w:ilvl w:val="0"/>
          <w:numId w:val="7"/>
        </w:numPr>
        <w:ind w:left="357" w:hanging="357"/>
        <w:jc w:val="both"/>
        <w:rPr>
          <w:rFonts w:ascii="Arial" w:hAnsi="Arial" w:cs="Arial"/>
        </w:rPr>
      </w:pPr>
      <w:r w:rsidRPr="0016717B">
        <w:rPr>
          <w:rFonts w:ascii="Arial" w:hAnsi="Arial" w:cs="Arial"/>
        </w:rPr>
        <w:t>A review of surface deployed geophysical techniques to discriminate and assess the salinity of the groundwater within the Precipice Sandstone within the deeper areas of the Surat Basin.</w:t>
      </w:r>
    </w:p>
    <w:p w14:paraId="1931D265" w14:textId="77777777" w:rsidR="0016717B" w:rsidRPr="0016717B" w:rsidRDefault="0016717B" w:rsidP="0016717B">
      <w:pPr>
        <w:pStyle w:val="CTSCoBulletLevel1"/>
        <w:numPr>
          <w:ilvl w:val="0"/>
          <w:numId w:val="7"/>
        </w:numPr>
        <w:ind w:left="357" w:hanging="357"/>
        <w:jc w:val="both"/>
        <w:rPr>
          <w:rFonts w:ascii="Arial" w:hAnsi="Arial" w:cs="Arial"/>
        </w:rPr>
      </w:pPr>
      <w:r w:rsidRPr="0016717B">
        <w:rPr>
          <w:rFonts w:ascii="Arial" w:hAnsi="Arial" w:cs="Arial"/>
        </w:rPr>
        <w:t>An initial 2D cross-section model of the Surat Basin rock and fluid property distributions, coal thickness and depth that would influence the Controlled Source Electromagnetic (CSEM) response.</w:t>
      </w:r>
    </w:p>
    <w:p w14:paraId="27613B85" w14:textId="77777777" w:rsidR="0016717B" w:rsidRPr="0016717B" w:rsidRDefault="0016717B" w:rsidP="0016717B">
      <w:pPr>
        <w:pStyle w:val="CTSCoBulletLevel1"/>
        <w:numPr>
          <w:ilvl w:val="0"/>
          <w:numId w:val="7"/>
        </w:numPr>
        <w:ind w:left="357" w:hanging="357"/>
        <w:jc w:val="both"/>
        <w:rPr>
          <w:rFonts w:ascii="Arial" w:hAnsi="Arial" w:cs="Arial"/>
        </w:rPr>
      </w:pPr>
      <w:r w:rsidRPr="0016717B">
        <w:rPr>
          <w:rFonts w:ascii="Arial" w:hAnsi="Arial" w:cs="Arial"/>
        </w:rPr>
        <w:t>Correlation between Precipice water chemistry and CSEM responses with depth.</w:t>
      </w:r>
    </w:p>
    <w:p w14:paraId="58351416" w14:textId="77777777" w:rsidR="0016717B" w:rsidRPr="0016717B" w:rsidRDefault="0016717B" w:rsidP="0016717B">
      <w:pPr>
        <w:pStyle w:val="CTSCoBulletLevel1"/>
        <w:numPr>
          <w:ilvl w:val="0"/>
          <w:numId w:val="7"/>
        </w:numPr>
        <w:ind w:left="357" w:hanging="357"/>
        <w:jc w:val="both"/>
        <w:rPr>
          <w:rFonts w:ascii="Arial" w:hAnsi="Arial" w:cs="Arial"/>
        </w:rPr>
      </w:pPr>
      <w:r w:rsidRPr="0016717B">
        <w:rPr>
          <w:rFonts w:ascii="Arial" w:hAnsi="Arial" w:cs="Arial"/>
        </w:rPr>
        <w:t xml:space="preserve">Desktop assessment of the likely range of uncertainty of the technique and options to reduce uncertainty based on the design (geometry etc.) of the surface operational plan. </w:t>
      </w:r>
    </w:p>
    <w:p w14:paraId="075087BB" w14:textId="77777777" w:rsidR="0016717B" w:rsidRPr="0016717B" w:rsidRDefault="0016717B" w:rsidP="0016717B">
      <w:pPr>
        <w:pStyle w:val="CTSCoBulletLevel1"/>
        <w:numPr>
          <w:ilvl w:val="0"/>
          <w:numId w:val="7"/>
        </w:numPr>
        <w:ind w:left="357" w:hanging="357"/>
        <w:jc w:val="both"/>
        <w:rPr>
          <w:rFonts w:ascii="Arial" w:hAnsi="Arial" w:cs="Arial"/>
        </w:rPr>
      </w:pPr>
      <w:r w:rsidRPr="0016717B">
        <w:rPr>
          <w:rFonts w:ascii="Arial" w:hAnsi="Arial" w:cs="Arial"/>
        </w:rPr>
        <w:t xml:space="preserve">Report on the workflow, process, results of modeling issues and interpretation of theoretical data from a CSEM survey. </w:t>
      </w:r>
    </w:p>
    <w:p w14:paraId="01571EC4" w14:textId="5EA85BF4" w:rsidR="0016717B" w:rsidRPr="0016717B" w:rsidRDefault="0016717B" w:rsidP="0016717B">
      <w:pPr>
        <w:pStyle w:val="CTSCoBulletLevel1"/>
        <w:numPr>
          <w:ilvl w:val="0"/>
          <w:numId w:val="7"/>
        </w:numPr>
        <w:ind w:left="357" w:hanging="357"/>
        <w:jc w:val="both"/>
        <w:rPr>
          <w:rFonts w:ascii="Arial" w:hAnsi="Arial" w:cs="Arial"/>
        </w:rPr>
      </w:pPr>
      <w:r w:rsidRPr="0016717B">
        <w:rPr>
          <w:rFonts w:ascii="Arial" w:hAnsi="Arial" w:cs="Arial"/>
        </w:rPr>
        <w:t>Recommendations for the design and cost of a CSEM survey.</w:t>
      </w:r>
    </w:p>
    <w:p w14:paraId="0599B9A2" w14:textId="5C746B93" w:rsidR="0096135C" w:rsidRPr="0016717B" w:rsidRDefault="0096135C" w:rsidP="0016717B">
      <w:pPr>
        <w:spacing w:before="80" w:after="80"/>
        <w:jc w:val="both"/>
        <w:rPr>
          <w:rFonts w:ascii="Arial" w:hAnsi="Arial" w:cs="Arial"/>
          <w:b/>
          <w:i/>
          <w:color w:val="31849B"/>
        </w:rPr>
      </w:pPr>
      <w:r w:rsidRPr="0016717B">
        <w:rPr>
          <w:rFonts w:ascii="Arial" w:hAnsi="Arial" w:cs="Arial"/>
          <w:b/>
          <w:i/>
          <w:color w:val="31849B"/>
        </w:rPr>
        <w:t>Work Program</w:t>
      </w:r>
    </w:p>
    <w:p w14:paraId="148302EF" w14:textId="77777777" w:rsidR="006B4880" w:rsidRPr="0016717B" w:rsidRDefault="006B4880" w:rsidP="0016717B">
      <w:pPr>
        <w:pStyle w:val="CTSCoBulletLevel1"/>
        <w:numPr>
          <w:ilvl w:val="0"/>
          <w:numId w:val="7"/>
        </w:numPr>
        <w:ind w:left="357" w:hanging="357"/>
        <w:jc w:val="both"/>
        <w:rPr>
          <w:rFonts w:ascii="Arial" w:hAnsi="Arial" w:cs="Arial"/>
        </w:rPr>
      </w:pPr>
      <w:r w:rsidRPr="0016717B">
        <w:rPr>
          <w:rFonts w:ascii="Arial" w:hAnsi="Arial" w:cs="Arial"/>
        </w:rPr>
        <w:t>Literature review of currently available surface deployed geophysical techniques with potential to map Precipice Sandstone groundwater salinity.</w:t>
      </w:r>
    </w:p>
    <w:p w14:paraId="011444BF" w14:textId="77777777" w:rsidR="006B4880" w:rsidRPr="0016717B" w:rsidRDefault="006B4880" w:rsidP="0016717B">
      <w:pPr>
        <w:pStyle w:val="CTSCoBulletLevel1"/>
        <w:numPr>
          <w:ilvl w:val="0"/>
          <w:numId w:val="7"/>
        </w:numPr>
        <w:ind w:left="357" w:hanging="357"/>
        <w:jc w:val="both"/>
        <w:rPr>
          <w:rFonts w:ascii="Arial" w:hAnsi="Arial" w:cs="Arial"/>
        </w:rPr>
      </w:pPr>
      <w:r w:rsidRPr="0016717B">
        <w:rPr>
          <w:rFonts w:ascii="Arial" w:hAnsi="Arial" w:cs="Arial"/>
        </w:rPr>
        <w:t>Compiling a Surat Basin formation rock and fluid properties to construct a desktop, theoretical model for forward prediction of its CSEM response with depth. Consistency of understanding of these properties by the Researcher and Proponent will be a key quality assurance step in this aspect of the project.</w:t>
      </w:r>
    </w:p>
    <w:p w14:paraId="019E1687" w14:textId="77777777" w:rsidR="006B4880" w:rsidRPr="0016717B" w:rsidRDefault="006B4880" w:rsidP="0016717B">
      <w:pPr>
        <w:pStyle w:val="CTSCoBulletLevel1"/>
        <w:numPr>
          <w:ilvl w:val="0"/>
          <w:numId w:val="7"/>
        </w:numPr>
        <w:ind w:left="357" w:hanging="357"/>
        <w:jc w:val="both"/>
        <w:rPr>
          <w:rFonts w:ascii="Arial" w:hAnsi="Arial" w:cs="Arial"/>
        </w:rPr>
      </w:pPr>
      <w:r w:rsidRPr="0016717B">
        <w:rPr>
          <w:rFonts w:ascii="Arial" w:hAnsi="Arial" w:cs="Arial"/>
        </w:rPr>
        <w:t>Testing the forward model to assess the sensitivity of the change in Precipice Sandstone water salinity.</w:t>
      </w:r>
    </w:p>
    <w:p w14:paraId="28D2E2EE" w14:textId="77777777" w:rsidR="006B4880" w:rsidRPr="0016717B" w:rsidRDefault="006B4880" w:rsidP="0016717B">
      <w:pPr>
        <w:pStyle w:val="CTSCoBulletLevel1"/>
        <w:numPr>
          <w:ilvl w:val="0"/>
          <w:numId w:val="7"/>
        </w:numPr>
        <w:ind w:left="357" w:hanging="357"/>
        <w:jc w:val="both"/>
        <w:rPr>
          <w:rFonts w:ascii="Arial" w:hAnsi="Arial" w:cs="Arial"/>
        </w:rPr>
      </w:pPr>
      <w:r w:rsidRPr="0016717B">
        <w:rPr>
          <w:rFonts w:ascii="Arial" w:hAnsi="Arial" w:cs="Arial"/>
        </w:rPr>
        <w:t>A sensitivity analysis (Tornado Plot) of rock, fluid property changes above the Precipice Sandstone and depth variations that could mask or lead to erroneous interpretation of the Precipice Sandstone water salinity.</w:t>
      </w:r>
    </w:p>
    <w:p w14:paraId="1C4B655D" w14:textId="4267FF51" w:rsidR="00DC103E" w:rsidRPr="00B11F08" w:rsidRDefault="006B4880" w:rsidP="00B11F08">
      <w:pPr>
        <w:pStyle w:val="CTSCoBulletLevel1"/>
        <w:numPr>
          <w:ilvl w:val="0"/>
          <w:numId w:val="7"/>
        </w:numPr>
        <w:ind w:left="357" w:hanging="357"/>
        <w:jc w:val="both"/>
        <w:rPr>
          <w:rFonts w:ascii="Arial" w:hAnsi="Arial" w:cs="Arial"/>
        </w:rPr>
      </w:pPr>
      <w:r w:rsidRPr="0016717B">
        <w:rPr>
          <w:rFonts w:ascii="Arial" w:hAnsi="Arial" w:cs="Arial"/>
        </w:rPr>
        <w:t>Prepare a conceptual CSEM Field acquisition program (design, time, resources, cost) to test the technique between CTSCo-defined set of Control Well locations.</w:t>
      </w:r>
    </w:p>
    <w:p w14:paraId="73BD702F" w14:textId="48C88D11" w:rsidR="00830A62" w:rsidRPr="0016717B" w:rsidRDefault="0096135C" w:rsidP="0016717B">
      <w:pPr>
        <w:spacing w:before="80" w:after="80"/>
        <w:jc w:val="both"/>
        <w:rPr>
          <w:rFonts w:ascii="Arial" w:hAnsi="Arial" w:cs="Arial"/>
          <w:b/>
          <w:i/>
          <w:color w:val="31849B"/>
          <w:szCs w:val="22"/>
          <w:lang w:eastAsia="en-AU" w:bidi="ar-SA"/>
        </w:rPr>
      </w:pPr>
      <w:r w:rsidRPr="0016717B">
        <w:rPr>
          <w:rFonts w:ascii="Arial" w:hAnsi="Arial" w:cs="Arial"/>
          <w:b/>
          <w:i/>
          <w:color w:val="31849B"/>
          <w:szCs w:val="22"/>
          <w:lang w:eastAsia="en-AU" w:bidi="ar-SA"/>
        </w:rPr>
        <w:t>Milestones</w:t>
      </w:r>
    </w:p>
    <w:p w14:paraId="6C0A955D" w14:textId="77777777" w:rsidR="00343060" w:rsidRPr="00B11F08" w:rsidRDefault="00343060" w:rsidP="00B11F08">
      <w:pPr>
        <w:pStyle w:val="Heading3"/>
        <w:numPr>
          <w:ilvl w:val="0"/>
          <w:numId w:val="0"/>
        </w:numPr>
        <w:spacing w:before="120"/>
        <w:jc w:val="both"/>
        <w:rPr>
          <w:rFonts w:ascii="Arial" w:hAnsi="Arial" w:cs="Arial"/>
          <w:b w:val="0"/>
          <w:sz w:val="20"/>
        </w:rPr>
      </w:pPr>
      <w:bookmarkStart w:id="1" w:name="_Toc522544645"/>
      <w:r w:rsidRPr="00B11F08">
        <w:rPr>
          <w:rFonts w:ascii="Arial" w:hAnsi="Arial" w:cs="Arial"/>
          <w:b w:val="0"/>
          <w:sz w:val="20"/>
        </w:rPr>
        <w:lastRenderedPageBreak/>
        <w:t>Milestone 1: Literature review</w:t>
      </w:r>
      <w:bookmarkEnd w:id="1"/>
    </w:p>
    <w:p w14:paraId="51D28342" w14:textId="77777777" w:rsidR="00343060" w:rsidRPr="00B11F08" w:rsidRDefault="00343060" w:rsidP="00B11F08">
      <w:pPr>
        <w:pStyle w:val="Heading3"/>
        <w:numPr>
          <w:ilvl w:val="0"/>
          <w:numId w:val="0"/>
        </w:numPr>
        <w:spacing w:before="120"/>
        <w:jc w:val="both"/>
        <w:rPr>
          <w:rFonts w:ascii="Arial" w:hAnsi="Arial" w:cs="Arial"/>
          <w:b w:val="0"/>
          <w:sz w:val="20"/>
        </w:rPr>
      </w:pPr>
      <w:bookmarkStart w:id="2" w:name="_Toc522544646"/>
      <w:r w:rsidRPr="00B11F08">
        <w:rPr>
          <w:rFonts w:ascii="Arial" w:hAnsi="Arial" w:cs="Arial"/>
          <w:b w:val="0"/>
          <w:sz w:val="20"/>
        </w:rPr>
        <w:t>Milestone 2: Build a conceptual model of Surat rock and fluid properties</w:t>
      </w:r>
      <w:bookmarkEnd w:id="2"/>
    </w:p>
    <w:p w14:paraId="268DC6D8" w14:textId="77777777" w:rsidR="00343060" w:rsidRPr="00B11F08" w:rsidRDefault="00343060" w:rsidP="00B11F08">
      <w:pPr>
        <w:pStyle w:val="Heading3"/>
        <w:numPr>
          <w:ilvl w:val="0"/>
          <w:numId w:val="0"/>
        </w:numPr>
        <w:spacing w:before="120"/>
        <w:jc w:val="both"/>
        <w:rPr>
          <w:rFonts w:ascii="Arial" w:hAnsi="Arial" w:cs="Arial"/>
          <w:b w:val="0"/>
          <w:sz w:val="20"/>
        </w:rPr>
      </w:pPr>
      <w:bookmarkStart w:id="3" w:name="_Toc522544647"/>
      <w:r w:rsidRPr="00B11F08">
        <w:rPr>
          <w:rFonts w:ascii="Arial" w:hAnsi="Arial" w:cs="Arial"/>
          <w:b w:val="0"/>
          <w:sz w:val="20"/>
        </w:rPr>
        <w:t xml:space="preserve">Milestone 3: Test and </w:t>
      </w:r>
      <w:proofErr w:type="spellStart"/>
      <w:r w:rsidRPr="00B11F08">
        <w:rPr>
          <w:rFonts w:ascii="Arial" w:hAnsi="Arial" w:cs="Arial"/>
          <w:b w:val="0"/>
          <w:sz w:val="20"/>
        </w:rPr>
        <w:t>analyse</w:t>
      </w:r>
      <w:proofErr w:type="spellEnd"/>
      <w:r w:rsidRPr="00B11F08">
        <w:rPr>
          <w:rFonts w:ascii="Arial" w:hAnsi="Arial" w:cs="Arial"/>
          <w:b w:val="0"/>
          <w:sz w:val="20"/>
        </w:rPr>
        <w:t xml:space="preserve"> the forward CSEM model responses to variations in Surat Basin rock and fluid responses</w:t>
      </w:r>
      <w:bookmarkEnd w:id="3"/>
    </w:p>
    <w:p w14:paraId="01E52726" w14:textId="77777777" w:rsidR="00343060" w:rsidRPr="00B11F08" w:rsidRDefault="00343060" w:rsidP="00B11F08">
      <w:pPr>
        <w:pStyle w:val="Heading3"/>
        <w:numPr>
          <w:ilvl w:val="0"/>
          <w:numId w:val="0"/>
        </w:numPr>
        <w:spacing w:before="120"/>
        <w:jc w:val="both"/>
        <w:rPr>
          <w:rFonts w:ascii="Arial" w:hAnsi="Arial" w:cs="Arial"/>
          <w:b w:val="0"/>
          <w:sz w:val="20"/>
        </w:rPr>
      </w:pPr>
      <w:bookmarkStart w:id="4" w:name="_Toc522544648"/>
      <w:r w:rsidRPr="00B11F08">
        <w:rPr>
          <w:rFonts w:ascii="Arial" w:hAnsi="Arial" w:cs="Arial"/>
          <w:b w:val="0"/>
          <w:sz w:val="20"/>
        </w:rPr>
        <w:t>Milestone 4: Conceptual field acquisition and interpretation plan to address the Project Problem (Precipice Sandstone groundwater salinity mapping)</w:t>
      </w:r>
      <w:bookmarkEnd w:id="4"/>
    </w:p>
    <w:p w14:paraId="50D8B3C5" w14:textId="77777777" w:rsidR="0096135C" w:rsidRPr="0016717B" w:rsidRDefault="0096135C" w:rsidP="0016717B">
      <w:pPr>
        <w:jc w:val="both"/>
        <w:rPr>
          <w:rFonts w:ascii="Arial" w:hAnsi="Arial" w:cs="Arial"/>
          <w:szCs w:val="22"/>
          <w:lang w:eastAsia="en-AU" w:bidi="ar-SA"/>
        </w:rPr>
      </w:pPr>
    </w:p>
    <w:sectPr w:rsidR="0096135C" w:rsidRPr="0016717B" w:rsidSect="009613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EB"/>
    <w:multiLevelType w:val="hybridMultilevel"/>
    <w:tmpl w:val="547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732962"/>
    <w:multiLevelType w:val="hybridMultilevel"/>
    <w:tmpl w:val="734A398A"/>
    <w:lvl w:ilvl="0" w:tplc="F0769E5E">
      <w:start w:val="1"/>
      <w:numFmt w:val="bullet"/>
      <w:pStyle w:val="CTSCo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B60D1"/>
    <w:multiLevelType w:val="hybridMultilevel"/>
    <w:tmpl w:val="F21267DE"/>
    <w:lvl w:ilvl="0" w:tplc="10724E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6C4F07"/>
    <w:multiLevelType w:val="hybridMultilevel"/>
    <w:tmpl w:val="52D2C934"/>
    <w:lvl w:ilvl="0" w:tplc="63504C26">
      <w:start w:val="1"/>
      <w:numFmt w:val="bullet"/>
      <w:pStyle w:val="CTSCoBulletLevel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E4618D"/>
    <w:multiLevelType w:val="hybridMultilevel"/>
    <w:tmpl w:val="D6E46E52"/>
    <w:lvl w:ilvl="0" w:tplc="A45E2D36">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8EA330C"/>
    <w:multiLevelType w:val="hybridMultilevel"/>
    <w:tmpl w:val="468CB6B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11EA1"/>
    <w:multiLevelType w:val="multilevel"/>
    <w:tmpl w:val="86F29754"/>
    <w:lvl w:ilvl="0">
      <w:start w:val="1"/>
      <w:numFmt w:val="decimal"/>
      <w:pStyle w:val="Heading1"/>
      <w:lvlText w:val="%1."/>
      <w:lvlJc w:val="left"/>
      <w:pPr>
        <w:ind w:left="680" w:hanging="680"/>
      </w:pPr>
      <w:rPr>
        <w:rFonts w:ascii="Calibri" w:hAnsi="Calibri" w:hint="default"/>
        <w:b/>
        <w:i w:val="0"/>
        <w:sz w:val="36"/>
      </w:rPr>
    </w:lvl>
    <w:lvl w:ilvl="1">
      <w:start w:val="1"/>
      <w:numFmt w:val="decimal"/>
      <w:pStyle w:val="Heading2"/>
      <w:lvlText w:val="%1.%2."/>
      <w:lvlJc w:val="left"/>
      <w:pPr>
        <w:ind w:left="680" w:hanging="680"/>
      </w:pPr>
      <w:rPr>
        <w:rFonts w:ascii="Calibri" w:hAnsi="Calibri" w:hint="default"/>
        <w:b/>
        <w:i w:val="0"/>
        <w:color w:val="1F8EAD"/>
        <w:sz w:val="28"/>
      </w:rPr>
    </w:lvl>
    <w:lvl w:ilvl="2">
      <w:start w:val="1"/>
      <w:numFmt w:val="decimal"/>
      <w:pStyle w:val="Heading3"/>
      <w:lvlText w:val="%1.%2.%3."/>
      <w:lvlJc w:val="left"/>
      <w:pPr>
        <w:ind w:left="680" w:hanging="680"/>
      </w:pPr>
      <w:rPr>
        <w:rFonts w:ascii="Calibri" w:hAnsi="Calibri" w:hint="default"/>
        <w:b/>
        <w:i w:val="0"/>
        <w:sz w:val="24"/>
      </w:rPr>
    </w:lvl>
    <w:lvl w:ilvl="3">
      <w:start w:val="1"/>
      <w:numFmt w:val="decimal"/>
      <w:pStyle w:val="Heading4"/>
      <w:lvlText w:val="%1.%2.%3.%4."/>
      <w:lvlJc w:val="left"/>
      <w:pPr>
        <w:ind w:left="680" w:hanging="680"/>
      </w:pPr>
      <w:rPr>
        <w:rFonts w:hint="default"/>
        <w:b/>
        <w:i/>
        <w:color w:val="1F8EAD"/>
        <w:sz w:val="24"/>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xMjYxNjEzNjM3M7BU0lEKTi0uzszPAykwrgUAkO0a6SwAAAA="/>
  </w:docVars>
  <w:rsids>
    <w:rsidRoot w:val="0096135C"/>
    <w:rsid w:val="00050F6E"/>
    <w:rsid w:val="000A2C14"/>
    <w:rsid w:val="000C3F8D"/>
    <w:rsid w:val="000C57EE"/>
    <w:rsid w:val="0016717B"/>
    <w:rsid w:val="00177A7A"/>
    <w:rsid w:val="001819B9"/>
    <w:rsid w:val="001976DD"/>
    <w:rsid w:val="001E713B"/>
    <w:rsid w:val="00236E10"/>
    <w:rsid w:val="002411E4"/>
    <w:rsid w:val="0027463C"/>
    <w:rsid w:val="00284550"/>
    <w:rsid w:val="002B721C"/>
    <w:rsid w:val="002E5AD4"/>
    <w:rsid w:val="0031753C"/>
    <w:rsid w:val="00343060"/>
    <w:rsid w:val="00373864"/>
    <w:rsid w:val="00405AB7"/>
    <w:rsid w:val="00436E76"/>
    <w:rsid w:val="004A2FF1"/>
    <w:rsid w:val="004C5F42"/>
    <w:rsid w:val="00581D1A"/>
    <w:rsid w:val="00586ED4"/>
    <w:rsid w:val="005A42B8"/>
    <w:rsid w:val="00601B9B"/>
    <w:rsid w:val="0065159D"/>
    <w:rsid w:val="0067423B"/>
    <w:rsid w:val="006B4880"/>
    <w:rsid w:val="006D1E48"/>
    <w:rsid w:val="006D216C"/>
    <w:rsid w:val="00710A18"/>
    <w:rsid w:val="00712F5F"/>
    <w:rsid w:val="00783318"/>
    <w:rsid w:val="007B4090"/>
    <w:rsid w:val="007D28AC"/>
    <w:rsid w:val="007E7F1E"/>
    <w:rsid w:val="00813D29"/>
    <w:rsid w:val="00830A62"/>
    <w:rsid w:val="00871D8F"/>
    <w:rsid w:val="008832F6"/>
    <w:rsid w:val="008D787A"/>
    <w:rsid w:val="008F7822"/>
    <w:rsid w:val="009234E9"/>
    <w:rsid w:val="00923F14"/>
    <w:rsid w:val="0096135C"/>
    <w:rsid w:val="009E10A7"/>
    <w:rsid w:val="009F503E"/>
    <w:rsid w:val="00A565B2"/>
    <w:rsid w:val="00A65124"/>
    <w:rsid w:val="00A6572F"/>
    <w:rsid w:val="00AB716F"/>
    <w:rsid w:val="00AC50A9"/>
    <w:rsid w:val="00B11F08"/>
    <w:rsid w:val="00B621B8"/>
    <w:rsid w:val="00B75A61"/>
    <w:rsid w:val="00B9468F"/>
    <w:rsid w:val="00BB2ED7"/>
    <w:rsid w:val="00BC4F62"/>
    <w:rsid w:val="00BC6E77"/>
    <w:rsid w:val="00BE5136"/>
    <w:rsid w:val="00C01E98"/>
    <w:rsid w:val="00C060C7"/>
    <w:rsid w:val="00C25092"/>
    <w:rsid w:val="00C32707"/>
    <w:rsid w:val="00C36316"/>
    <w:rsid w:val="00C41B71"/>
    <w:rsid w:val="00CA273B"/>
    <w:rsid w:val="00CA631D"/>
    <w:rsid w:val="00CD4662"/>
    <w:rsid w:val="00D251E5"/>
    <w:rsid w:val="00D27A5E"/>
    <w:rsid w:val="00DC103E"/>
    <w:rsid w:val="00DD2402"/>
    <w:rsid w:val="00DE0471"/>
    <w:rsid w:val="00E30916"/>
    <w:rsid w:val="00E901FA"/>
    <w:rsid w:val="00E95684"/>
    <w:rsid w:val="00F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F1A5"/>
  <w15:chartTrackingRefBased/>
  <w15:docId w15:val="{D01D2ACA-CC65-4A58-BC48-4A4C406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5C"/>
    <w:pPr>
      <w:spacing w:before="200" w:after="200" w:line="276" w:lineRule="auto"/>
    </w:pPr>
    <w:rPr>
      <w:rFonts w:ascii="Calibri" w:eastAsia="Times New Roman" w:hAnsi="Calibri" w:cs="Times New Roman"/>
      <w:sz w:val="20"/>
      <w:szCs w:val="20"/>
      <w:lang w:bidi="en-US"/>
    </w:rPr>
  </w:style>
  <w:style w:type="paragraph" w:styleId="Heading1">
    <w:name w:val="heading 1"/>
    <w:basedOn w:val="CTSCoBodytext"/>
    <w:next w:val="CTSCoBodytext"/>
    <w:link w:val="Heading1Char"/>
    <w:uiPriority w:val="9"/>
    <w:qFormat/>
    <w:rsid w:val="008F7822"/>
    <w:pPr>
      <w:pageBreakBefore/>
      <w:numPr>
        <w:numId w:val="3"/>
      </w:numPr>
      <w:outlineLvl w:val="0"/>
    </w:pPr>
    <w:rPr>
      <w:b/>
      <w:sz w:val="36"/>
      <w:szCs w:val="36"/>
    </w:rPr>
  </w:style>
  <w:style w:type="paragraph" w:styleId="Heading2">
    <w:name w:val="heading 2"/>
    <w:basedOn w:val="Normal"/>
    <w:next w:val="CTSCoBodytext"/>
    <w:link w:val="Heading2Char"/>
    <w:autoRedefine/>
    <w:uiPriority w:val="9"/>
    <w:unhideWhenUsed/>
    <w:qFormat/>
    <w:rsid w:val="008F7822"/>
    <w:pPr>
      <w:keepNext/>
      <w:numPr>
        <w:ilvl w:val="1"/>
        <w:numId w:val="3"/>
      </w:numPr>
      <w:spacing w:before="240" w:line="240" w:lineRule="auto"/>
      <w:outlineLvl w:val="1"/>
    </w:pPr>
    <w:rPr>
      <w:rFonts w:asciiTheme="minorHAnsi" w:eastAsiaTheme="majorEastAsia" w:hAnsiTheme="minorHAnsi" w:cstheme="majorBidi"/>
      <w:b/>
      <w:color w:val="1F8EAD"/>
      <w:sz w:val="28"/>
      <w:szCs w:val="26"/>
    </w:rPr>
  </w:style>
  <w:style w:type="paragraph" w:styleId="Heading3">
    <w:name w:val="heading 3"/>
    <w:basedOn w:val="Normal"/>
    <w:next w:val="CTSCoBodytext"/>
    <w:link w:val="Heading3Char"/>
    <w:autoRedefine/>
    <w:uiPriority w:val="9"/>
    <w:unhideWhenUsed/>
    <w:qFormat/>
    <w:rsid w:val="008F7822"/>
    <w:pPr>
      <w:keepNext/>
      <w:keepLines/>
      <w:numPr>
        <w:ilvl w:val="2"/>
        <w:numId w:val="3"/>
      </w:numPr>
      <w:spacing w:before="240" w:after="120" w:line="240" w:lineRule="auto"/>
      <w:outlineLvl w:val="2"/>
    </w:pPr>
    <w:rPr>
      <w:rFonts w:eastAsiaTheme="majorEastAsia" w:cstheme="majorBidi"/>
      <w:b/>
      <w:sz w:val="24"/>
      <w:szCs w:val="24"/>
      <w:lang w:val="en-US" w:bidi="ar-SA"/>
    </w:rPr>
  </w:style>
  <w:style w:type="paragraph" w:styleId="Heading4">
    <w:name w:val="heading 4"/>
    <w:basedOn w:val="CTSCoBodytext"/>
    <w:next w:val="CTSCoBodytext"/>
    <w:link w:val="Heading4Char"/>
    <w:uiPriority w:val="9"/>
    <w:unhideWhenUsed/>
    <w:rsid w:val="008F7822"/>
    <w:pPr>
      <w:numPr>
        <w:ilvl w:val="3"/>
        <w:numId w:val="3"/>
      </w:numPr>
      <w:spacing w:before="240"/>
      <w:outlineLvl w:val="3"/>
    </w:pPr>
    <w:rPr>
      <w:b/>
      <w:i/>
      <w:color w:val="1F8EA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35C"/>
    <w:pPr>
      <w:ind w:left="720"/>
      <w:contextualSpacing/>
    </w:pPr>
  </w:style>
  <w:style w:type="character" w:customStyle="1" w:styleId="ListParagraphChar">
    <w:name w:val="List Paragraph Char"/>
    <w:basedOn w:val="DefaultParagraphFont"/>
    <w:link w:val="ListParagraph"/>
    <w:uiPriority w:val="34"/>
    <w:locked/>
    <w:rsid w:val="0096135C"/>
    <w:rPr>
      <w:rFonts w:ascii="Calibri" w:eastAsia="Times New Roman" w:hAnsi="Calibri" w:cs="Times New Roman"/>
      <w:sz w:val="20"/>
      <w:szCs w:val="20"/>
      <w:lang w:bidi="en-US"/>
    </w:rPr>
  </w:style>
  <w:style w:type="table" w:styleId="LightShading">
    <w:name w:val="Light Shading"/>
    <w:basedOn w:val="TableNormal"/>
    <w:uiPriority w:val="60"/>
    <w:rsid w:val="0096135C"/>
    <w:pPr>
      <w:spacing w:after="0" w:line="240" w:lineRule="auto"/>
    </w:pPr>
    <w:rPr>
      <w:rFonts w:ascii="Calibri" w:eastAsia="SimSun" w:hAnsi="Calibri"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CTSCoBodytext">
    <w:name w:val="CTSCo Body text"/>
    <w:basedOn w:val="Normal"/>
    <w:link w:val="CTSCoBodytextChar"/>
    <w:autoRedefine/>
    <w:qFormat/>
    <w:rsid w:val="00AC50A9"/>
    <w:pPr>
      <w:spacing w:line="240" w:lineRule="auto"/>
    </w:pPr>
    <w:rPr>
      <w:rFonts w:eastAsiaTheme="minorHAnsi" w:cstheme="majorHAnsi"/>
      <w:noProof/>
      <w:szCs w:val="22"/>
    </w:rPr>
  </w:style>
  <w:style w:type="character" w:customStyle="1" w:styleId="CTSCoBodytextChar">
    <w:name w:val="CTSCo Body text Char"/>
    <w:basedOn w:val="DefaultParagraphFont"/>
    <w:link w:val="CTSCoBodytext"/>
    <w:rsid w:val="00AC50A9"/>
    <w:rPr>
      <w:rFonts w:ascii="Calibri" w:hAnsi="Calibri" w:cstheme="majorHAnsi"/>
      <w:noProof/>
      <w:sz w:val="20"/>
      <w:lang w:bidi="en-US"/>
    </w:rPr>
  </w:style>
  <w:style w:type="paragraph" w:customStyle="1" w:styleId="CTSCoBulletLevel1">
    <w:name w:val="CTSCo Bullet Level 1"/>
    <w:basedOn w:val="Normal"/>
    <w:link w:val="CTSCoBulletLevel1Char"/>
    <w:autoRedefine/>
    <w:qFormat/>
    <w:rsid w:val="00C36316"/>
    <w:pPr>
      <w:numPr>
        <w:numId w:val="2"/>
      </w:numPr>
      <w:spacing w:before="0" w:after="100" w:line="240" w:lineRule="auto"/>
      <w:ind w:left="357" w:hanging="357"/>
    </w:pPr>
    <w:rPr>
      <w:rFonts w:eastAsiaTheme="minorHAnsi" w:cstheme="majorHAnsi"/>
      <w:szCs w:val="22"/>
      <w:lang w:val="en-US"/>
    </w:rPr>
  </w:style>
  <w:style w:type="character" w:customStyle="1" w:styleId="CTSCoBulletLevel1Char">
    <w:name w:val="CTSCo Bullet Level 1 Char"/>
    <w:basedOn w:val="DefaultParagraphFont"/>
    <w:link w:val="CTSCoBulletLevel1"/>
    <w:rsid w:val="00C36316"/>
    <w:rPr>
      <w:rFonts w:ascii="Calibri" w:hAnsi="Calibri" w:cstheme="majorHAnsi"/>
      <w:sz w:val="20"/>
      <w:lang w:val="en-US" w:bidi="en-US"/>
    </w:rPr>
  </w:style>
  <w:style w:type="character" w:customStyle="1" w:styleId="Heading1Char">
    <w:name w:val="Heading 1 Char"/>
    <w:basedOn w:val="DefaultParagraphFont"/>
    <w:link w:val="Heading1"/>
    <w:uiPriority w:val="9"/>
    <w:rsid w:val="008F7822"/>
    <w:rPr>
      <w:rFonts w:ascii="Calibri" w:hAnsi="Calibri" w:cstheme="majorHAnsi"/>
      <w:b/>
      <w:noProof/>
      <w:sz w:val="36"/>
      <w:szCs w:val="36"/>
      <w:lang w:bidi="en-US"/>
    </w:rPr>
  </w:style>
  <w:style w:type="character" w:customStyle="1" w:styleId="Heading2Char">
    <w:name w:val="Heading 2 Char"/>
    <w:basedOn w:val="DefaultParagraphFont"/>
    <w:link w:val="Heading2"/>
    <w:uiPriority w:val="9"/>
    <w:rsid w:val="008F7822"/>
    <w:rPr>
      <w:rFonts w:eastAsiaTheme="majorEastAsia" w:cstheme="majorBidi"/>
      <w:b/>
      <w:color w:val="1F8EAD"/>
      <w:sz w:val="28"/>
      <w:szCs w:val="26"/>
      <w:lang w:bidi="en-US"/>
    </w:rPr>
  </w:style>
  <w:style w:type="character" w:customStyle="1" w:styleId="Heading3Char">
    <w:name w:val="Heading 3 Char"/>
    <w:basedOn w:val="DefaultParagraphFont"/>
    <w:link w:val="Heading3"/>
    <w:uiPriority w:val="9"/>
    <w:rsid w:val="008F7822"/>
    <w:rPr>
      <w:rFonts w:ascii="Calibri" w:eastAsiaTheme="majorEastAsia" w:hAnsi="Calibri" w:cstheme="majorBidi"/>
      <w:b/>
      <w:sz w:val="24"/>
      <w:szCs w:val="24"/>
      <w:lang w:val="en-US"/>
    </w:rPr>
  </w:style>
  <w:style w:type="character" w:customStyle="1" w:styleId="Heading4Char">
    <w:name w:val="Heading 4 Char"/>
    <w:basedOn w:val="DefaultParagraphFont"/>
    <w:link w:val="Heading4"/>
    <w:uiPriority w:val="9"/>
    <w:rsid w:val="008F7822"/>
    <w:rPr>
      <w:rFonts w:ascii="Calibri" w:hAnsi="Calibri" w:cstheme="majorHAnsi"/>
      <w:b/>
      <w:i/>
      <w:noProof/>
      <w:color w:val="1F8EAD"/>
      <w:sz w:val="20"/>
      <w:lang w:val="en-US" w:bidi="en-US"/>
    </w:rPr>
  </w:style>
  <w:style w:type="paragraph" w:customStyle="1" w:styleId="CTSCoBulletLevel2">
    <w:name w:val="CTSCo Bullet Level 2"/>
    <w:basedOn w:val="Normal"/>
    <w:autoRedefine/>
    <w:qFormat/>
    <w:rsid w:val="00601B9B"/>
    <w:pPr>
      <w:numPr>
        <w:numId w:val="4"/>
      </w:numPr>
      <w:spacing w:before="0" w:after="100" w:line="240" w:lineRule="auto"/>
    </w:pPr>
    <w:rPr>
      <w:rFonts w:asciiTheme="minorHAnsi" w:eastAsiaTheme="minorHAnsi" w:hAnsiTheme="minorHAnsi" w:cstheme="minorBidi"/>
      <w:szCs w:val="22"/>
      <w:lang w:val="en-US"/>
    </w:rPr>
  </w:style>
  <w:style w:type="paragraph" w:customStyle="1" w:styleId="CTSCoBodyTextBold">
    <w:name w:val="CTSCo Body Text Bold"/>
    <w:basedOn w:val="CTSCoBodytext"/>
    <w:link w:val="CTSCoBodyTextBoldChar"/>
    <w:rsid w:val="00AB716F"/>
    <w:rPr>
      <w:b/>
    </w:rPr>
  </w:style>
  <w:style w:type="character" w:customStyle="1" w:styleId="CTSCoBodyTextBoldChar">
    <w:name w:val="CTSCo Body Text Bold Char"/>
    <w:basedOn w:val="CTSCoBodytextChar"/>
    <w:link w:val="CTSCoBodyTextBold"/>
    <w:rsid w:val="00AB716F"/>
    <w:rPr>
      <w:rFonts w:ascii="Calibri" w:hAnsi="Calibri" w:cstheme="majorHAnsi"/>
      <w:b/>
      <w:noProof/>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Tyiasning</dc:creator>
  <cp:keywords/>
  <dc:description/>
  <cp:lastModifiedBy>Stephanie Tyiasning</cp:lastModifiedBy>
  <cp:revision>9</cp:revision>
  <dcterms:created xsi:type="dcterms:W3CDTF">2018-09-04T03:54:00Z</dcterms:created>
  <dcterms:modified xsi:type="dcterms:W3CDTF">2018-09-24T06:01:00Z</dcterms:modified>
</cp:coreProperties>
</file>