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9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227"/>
        <w:gridCol w:w="3827"/>
        <w:gridCol w:w="3544"/>
      </w:tblGrid>
      <w:tr w:rsidR="0096135C" w:rsidRPr="00DB167B" w14:paraId="31B40C62" w14:textId="77777777" w:rsidTr="0096135C">
        <w:trPr>
          <w:trHeight w:val="1036"/>
        </w:trPr>
        <w:tc>
          <w:tcPr>
            <w:tcW w:w="7054" w:type="dxa"/>
            <w:gridSpan w:val="2"/>
            <w:shd w:val="clear" w:color="auto" w:fill="31849B"/>
          </w:tcPr>
          <w:p w14:paraId="15C4D0E1" w14:textId="77777777" w:rsidR="009F503E" w:rsidRPr="00DB167B" w:rsidRDefault="0096135C" w:rsidP="00975C78">
            <w:pPr>
              <w:pStyle w:val="CTSCoBodytext"/>
              <w:spacing w:line="276" w:lineRule="auto"/>
              <w:jc w:val="both"/>
              <w:rPr>
                <w:rFonts w:ascii="Arial" w:hAnsi="Arial" w:cs="Arial"/>
                <w:color w:val="FFFFFF" w:themeColor="background1"/>
              </w:rPr>
            </w:pPr>
            <w:r w:rsidRPr="00DB167B">
              <w:rPr>
                <w:rFonts w:ascii="Arial" w:hAnsi="Arial" w:cs="Arial"/>
                <w:color w:val="FFFFFF"/>
              </w:rPr>
              <w:t xml:space="preserve">Title: </w:t>
            </w:r>
            <w:r w:rsidR="009F503E" w:rsidRPr="00DB167B">
              <w:rPr>
                <w:rFonts w:ascii="Arial" w:hAnsi="Arial" w:cs="Arial"/>
                <w:color w:val="FFFFFF" w:themeColor="background1"/>
              </w:rPr>
              <w:t>Rock Typing – assessment of Surat Basin drill cuttings for rock properties in the southern Surat Basin</w:t>
            </w:r>
          </w:p>
          <w:p w14:paraId="505F9C12" w14:textId="3857A795" w:rsidR="0096135C" w:rsidRPr="00DB167B" w:rsidRDefault="0096135C" w:rsidP="00975C78">
            <w:pPr>
              <w:spacing w:before="0" w:after="80"/>
              <w:jc w:val="both"/>
              <w:rPr>
                <w:rFonts w:ascii="Arial" w:hAnsi="Arial" w:cs="Arial"/>
                <w:color w:val="FFFFFF"/>
              </w:rPr>
            </w:pPr>
            <w:r w:rsidRPr="00DB167B">
              <w:rPr>
                <w:rFonts w:ascii="Arial" w:hAnsi="Arial" w:cs="Arial"/>
                <w:color w:val="FFFFFF"/>
              </w:rPr>
              <w:t xml:space="preserve">Project Leader: </w:t>
            </w:r>
            <w:r w:rsidR="00AC50A9" w:rsidRPr="00DB167B">
              <w:rPr>
                <w:rFonts w:ascii="Arial" w:eastAsia="Calibri" w:hAnsi="Arial" w:cs="Arial"/>
                <w:color w:val="F2F2F2"/>
                <w:lang w:bidi="ar-SA"/>
              </w:rPr>
              <w:t>CTSCo</w:t>
            </w:r>
          </w:p>
        </w:tc>
        <w:tc>
          <w:tcPr>
            <w:tcW w:w="3544" w:type="dxa"/>
            <w:shd w:val="clear" w:color="auto" w:fill="31849B"/>
          </w:tcPr>
          <w:p w14:paraId="7EF34A0F" w14:textId="77777777" w:rsidR="0096135C" w:rsidRPr="00DB167B" w:rsidRDefault="0096135C" w:rsidP="00975C78">
            <w:pPr>
              <w:spacing w:before="120" w:after="80"/>
              <w:jc w:val="both"/>
              <w:rPr>
                <w:rFonts w:ascii="Arial" w:hAnsi="Arial" w:cs="Arial"/>
                <w:color w:val="FFFFFF"/>
              </w:rPr>
            </w:pPr>
            <w:r w:rsidRPr="00DB167B">
              <w:rPr>
                <w:rFonts w:ascii="Arial" w:hAnsi="Arial" w:cs="Arial"/>
                <w:color w:val="FFFFFF"/>
              </w:rPr>
              <w:t xml:space="preserve">Demonstration Project: </w:t>
            </w:r>
          </w:p>
          <w:p w14:paraId="566D1463" w14:textId="6C62BCFD" w:rsidR="0096135C" w:rsidRPr="00DB167B" w:rsidRDefault="00834B1D" w:rsidP="00975C78">
            <w:pPr>
              <w:spacing w:before="120" w:after="80"/>
              <w:jc w:val="both"/>
              <w:rPr>
                <w:rFonts w:ascii="Arial" w:hAnsi="Arial" w:cs="Arial"/>
                <w:color w:val="FFFFFF"/>
              </w:rPr>
            </w:pPr>
            <w:r w:rsidRPr="00DB167B">
              <w:rPr>
                <w:rFonts w:ascii="Arial" w:hAnsi="Arial" w:cs="Arial"/>
                <w:color w:val="FFFFFF"/>
              </w:rPr>
              <w:t>CTSCo</w:t>
            </w:r>
          </w:p>
        </w:tc>
      </w:tr>
      <w:tr w:rsidR="0096135C" w:rsidRPr="00DB167B" w14:paraId="07054E16" w14:textId="77777777" w:rsidTr="0096135C">
        <w:tblPrEx>
          <w:shd w:val="clear" w:color="auto" w:fill="FABF8F"/>
        </w:tblPrEx>
        <w:tc>
          <w:tcPr>
            <w:tcW w:w="3227" w:type="dxa"/>
            <w:shd w:val="clear" w:color="auto" w:fill="31849B"/>
          </w:tcPr>
          <w:p w14:paraId="634BCD16" w14:textId="7D454531" w:rsidR="0096135C" w:rsidRPr="00DB167B" w:rsidRDefault="0096135C" w:rsidP="00975C78">
            <w:pPr>
              <w:spacing w:before="120" w:after="80"/>
              <w:jc w:val="both"/>
              <w:rPr>
                <w:rFonts w:ascii="Arial" w:hAnsi="Arial" w:cs="Arial"/>
                <w:color w:val="FFFFFF"/>
              </w:rPr>
            </w:pPr>
            <w:r w:rsidRPr="00DB167B">
              <w:rPr>
                <w:rFonts w:ascii="Arial" w:hAnsi="Arial" w:cs="Arial"/>
                <w:color w:val="FFFFFF"/>
              </w:rPr>
              <w:t xml:space="preserve">Project Number: </w:t>
            </w:r>
          </w:p>
          <w:p w14:paraId="6E07BBC0" w14:textId="17CDEE63" w:rsidR="0096135C" w:rsidRPr="00DB167B" w:rsidRDefault="0096135C" w:rsidP="00975C78">
            <w:pPr>
              <w:spacing w:before="120" w:after="80"/>
              <w:jc w:val="both"/>
              <w:rPr>
                <w:rFonts w:ascii="Arial" w:hAnsi="Arial" w:cs="Arial"/>
                <w:color w:val="FFFFFF"/>
              </w:rPr>
            </w:pPr>
            <w:r w:rsidRPr="00DB167B">
              <w:rPr>
                <w:rFonts w:ascii="Arial" w:hAnsi="Arial" w:cs="Arial"/>
                <w:color w:val="FFFFFF"/>
              </w:rPr>
              <w:t>Status: Under Development</w:t>
            </w:r>
          </w:p>
        </w:tc>
        <w:tc>
          <w:tcPr>
            <w:tcW w:w="3827" w:type="dxa"/>
            <w:shd w:val="clear" w:color="auto" w:fill="31849B"/>
          </w:tcPr>
          <w:p w14:paraId="39BAB122" w14:textId="720EED33" w:rsidR="0096135C" w:rsidRPr="00DB167B" w:rsidRDefault="0096135C" w:rsidP="00975C78">
            <w:pPr>
              <w:spacing w:before="120" w:after="80"/>
              <w:jc w:val="both"/>
              <w:rPr>
                <w:rFonts w:ascii="Arial" w:hAnsi="Arial" w:cs="Arial"/>
                <w:color w:val="FFFFFF"/>
              </w:rPr>
            </w:pPr>
            <w:r w:rsidRPr="00DB167B">
              <w:rPr>
                <w:rFonts w:ascii="Arial" w:hAnsi="Arial" w:cs="Arial"/>
                <w:color w:val="FFFFFF"/>
              </w:rPr>
              <w:t xml:space="preserve">Commencement: </w:t>
            </w:r>
            <w:r w:rsidR="00AC50A9" w:rsidRPr="00DB167B">
              <w:rPr>
                <w:rFonts w:ascii="Arial" w:hAnsi="Arial" w:cs="Arial"/>
                <w:color w:val="FFFFFF"/>
              </w:rPr>
              <w:t>2018</w:t>
            </w:r>
          </w:p>
          <w:p w14:paraId="4A2A2CE8" w14:textId="41AEA946" w:rsidR="0096135C" w:rsidRPr="00DB167B" w:rsidRDefault="0096135C" w:rsidP="00975C78">
            <w:pPr>
              <w:spacing w:before="120" w:after="80"/>
              <w:jc w:val="both"/>
              <w:rPr>
                <w:rFonts w:ascii="Arial" w:hAnsi="Arial" w:cs="Arial"/>
                <w:color w:val="FFFFFF"/>
              </w:rPr>
            </w:pPr>
            <w:r w:rsidRPr="00DB167B">
              <w:rPr>
                <w:rFonts w:ascii="Arial" w:hAnsi="Arial" w:cs="Arial"/>
                <w:color w:val="FFFFFF"/>
              </w:rPr>
              <w:t xml:space="preserve">Completion: </w:t>
            </w:r>
          </w:p>
        </w:tc>
        <w:tc>
          <w:tcPr>
            <w:tcW w:w="3544" w:type="dxa"/>
            <w:shd w:val="clear" w:color="auto" w:fill="31849B"/>
          </w:tcPr>
          <w:p w14:paraId="201D54AE" w14:textId="77777777" w:rsidR="00AC50A9" w:rsidRPr="00DB167B" w:rsidRDefault="0096135C" w:rsidP="00975C78">
            <w:pPr>
              <w:spacing w:before="120" w:after="80"/>
              <w:jc w:val="both"/>
              <w:rPr>
                <w:rFonts w:ascii="Arial" w:hAnsi="Arial" w:cs="Arial"/>
                <w:color w:val="FFFFFF"/>
              </w:rPr>
            </w:pPr>
            <w:r w:rsidRPr="00DB167B">
              <w:rPr>
                <w:rFonts w:ascii="Arial" w:hAnsi="Arial" w:cs="Arial"/>
                <w:color w:val="FFFFFF"/>
              </w:rPr>
              <w:t xml:space="preserve">Total Budget: </w:t>
            </w:r>
          </w:p>
          <w:p w14:paraId="41196A06" w14:textId="2046660A" w:rsidR="0096135C" w:rsidRPr="00DB167B" w:rsidRDefault="0096135C" w:rsidP="00975C78">
            <w:pPr>
              <w:spacing w:before="120" w:after="80"/>
              <w:jc w:val="both"/>
              <w:rPr>
                <w:rFonts w:ascii="Arial" w:hAnsi="Arial" w:cs="Arial"/>
                <w:color w:val="FFFFFF"/>
              </w:rPr>
            </w:pPr>
            <w:r w:rsidRPr="00DB167B">
              <w:rPr>
                <w:rFonts w:ascii="Arial" w:hAnsi="Arial" w:cs="Arial"/>
                <w:color w:val="FFFFFF"/>
              </w:rPr>
              <w:t xml:space="preserve">ANLEC R&amp;D Contribution: </w:t>
            </w:r>
          </w:p>
        </w:tc>
      </w:tr>
    </w:tbl>
    <w:p w14:paraId="719156AA" w14:textId="77777777" w:rsidR="0096135C" w:rsidRPr="00DB167B" w:rsidRDefault="0096135C" w:rsidP="00975C78">
      <w:pPr>
        <w:spacing w:before="80" w:after="80"/>
        <w:jc w:val="both"/>
        <w:rPr>
          <w:rFonts w:ascii="Arial" w:hAnsi="Arial" w:cs="Arial"/>
          <w:b/>
          <w:i/>
          <w:color w:val="31849B"/>
        </w:rPr>
      </w:pPr>
      <w:r w:rsidRPr="00DB167B">
        <w:rPr>
          <w:rFonts w:ascii="Arial" w:hAnsi="Arial" w:cs="Arial"/>
          <w:b/>
          <w:i/>
          <w:color w:val="31849B"/>
        </w:rPr>
        <w:t>The Context</w:t>
      </w:r>
    </w:p>
    <w:p w14:paraId="4CAC04EE" w14:textId="52547895" w:rsidR="00750449" w:rsidRDefault="00750449" w:rsidP="00975C78">
      <w:pPr>
        <w:pStyle w:val="CTSCoBodytext"/>
        <w:spacing w:line="276" w:lineRule="auto"/>
        <w:jc w:val="both"/>
        <w:rPr>
          <w:rFonts w:ascii="Arial" w:hAnsi="Arial" w:cs="Arial"/>
        </w:rPr>
      </w:pPr>
      <w:r>
        <w:rPr>
          <w:rFonts w:ascii="Arial" w:hAnsi="Arial" w:cs="Arial"/>
        </w:rPr>
        <w:t>CTSCo</w:t>
      </w:r>
      <w:r w:rsidRPr="00A95EB8">
        <w:rPr>
          <w:rFonts w:ascii="Arial" w:hAnsi="Arial" w:cs="Arial"/>
        </w:rPr>
        <w:t xml:space="preserve"> wishes to understand the options for maximising the efficiency of access to available storage porespace within a southern Surat storage complex.</w:t>
      </w:r>
      <w:r>
        <w:rPr>
          <w:rFonts w:ascii="Arial" w:hAnsi="Arial" w:cs="Arial"/>
        </w:rPr>
        <w:t xml:space="preserve"> To do that, CTSCo</w:t>
      </w:r>
      <w:r w:rsidRPr="004A5786">
        <w:rPr>
          <w:rFonts w:ascii="Arial" w:hAnsi="Arial" w:cs="Arial"/>
        </w:rPr>
        <w:t xml:space="preserve"> requires </w:t>
      </w:r>
      <w:r w:rsidR="00A6572F" w:rsidRPr="00DB167B">
        <w:rPr>
          <w:rFonts w:ascii="Arial" w:hAnsi="Arial" w:cs="Arial"/>
          <w:lang w:val="en-US" w:bidi="ar-SA"/>
        </w:rPr>
        <w:t xml:space="preserve">a </w:t>
      </w:r>
      <w:r>
        <w:rPr>
          <w:rFonts w:ascii="Arial" w:hAnsi="Arial" w:cs="Arial"/>
          <w:lang w:val="en-US" w:bidi="ar-SA"/>
        </w:rPr>
        <w:t>high-</w:t>
      </w:r>
      <w:r w:rsidR="00A6572F" w:rsidRPr="00DB167B">
        <w:rPr>
          <w:rFonts w:ascii="Arial" w:hAnsi="Arial" w:cs="Arial"/>
          <w:lang w:val="en-US" w:bidi="ar-SA"/>
        </w:rPr>
        <w:t xml:space="preserve">quality database of </w:t>
      </w:r>
      <w:r>
        <w:rPr>
          <w:rFonts w:ascii="Arial" w:hAnsi="Arial" w:cs="Arial"/>
          <w:lang w:val="en-US" w:bidi="ar-SA"/>
        </w:rPr>
        <w:t xml:space="preserve">the Surat Basin rock properties from drill cuttings. </w:t>
      </w:r>
      <w:r>
        <w:rPr>
          <w:rFonts w:ascii="Arial" w:hAnsi="Arial" w:cs="Arial"/>
        </w:rPr>
        <w:t xml:space="preserve">This information is essential </w:t>
      </w:r>
      <w:r w:rsidRPr="004A5786">
        <w:rPr>
          <w:rFonts w:ascii="Arial" w:hAnsi="Arial" w:cs="Arial"/>
        </w:rPr>
        <w:t>to construct demo-site static model</w:t>
      </w:r>
      <w:r>
        <w:rPr>
          <w:rFonts w:ascii="Arial" w:hAnsi="Arial" w:cs="Arial"/>
        </w:rPr>
        <w:t>s, which are the input</w:t>
      </w:r>
      <w:r w:rsidRPr="00A95EB8">
        <w:rPr>
          <w:rFonts w:ascii="Arial" w:hAnsi="Arial" w:cs="Arial"/>
        </w:rPr>
        <w:t xml:space="preserve"> for </w:t>
      </w:r>
      <w:r>
        <w:rPr>
          <w:rFonts w:ascii="Arial" w:hAnsi="Arial" w:cs="Arial"/>
        </w:rPr>
        <w:t xml:space="preserve">future </w:t>
      </w:r>
      <w:r w:rsidRPr="00A95EB8">
        <w:rPr>
          <w:rFonts w:ascii="Arial" w:hAnsi="Arial" w:cs="Arial"/>
        </w:rPr>
        <w:t>geological, reservoir simulation and geochemical modelling.</w:t>
      </w:r>
    </w:p>
    <w:p w14:paraId="4DF8DE7E" w14:textId="67EEBBEB" w:rsidR="0096135C" w:rsidRPr="00DB167B" w:rsidRDefault="0096135C" w:rsidP="00975C78">
      <w:pPr>
        <w:pStyle w:val="CTSCoBodytext"/>
        <w:spacing w:line="276" w:lineRule="auto"/>
        <w:jc w:val="both"/>
        <w:rPr>
          <w:rFonts w:ascii="Arial" w:hAnsi="Arial" w:cs="Arial"/>
          <w:b/>
          <w:i/>
          <w:color w:val="31849B"/>
        </w:rPr>
      </w:pPr>
      <w:r w:rsidRPr="00DB167B">
        <w:rPr>
          <w:rFonts w:ascii="Arial" w:hAnsi="Arial" w:cs="Arial"/>
          <w:b/>
          <w:i/>
          <w:color w:val="31849B"/>
        </w:rPr>
        <w:t>Unknowns</w:t>
      </w:r>
    </w:p>
    <w:p w14:paraId="1241F307" w14:textId="56B06C98" w:rsidR="007B4090" w:rsidRPr="00DB167B" w:rsidRDefault="007B4090" w:rsidP="00975C78">
      <w:pPr>
        <w:pStyle w:val="CTSCoBodytext"/>
        <w:spacing w:before="0" w:after="120" w:line="276" w:lineRule="auto"/>
        <w:contextualSpacing/>
        <w:jc w:val="both"/>
        <w:rPr>
          <w:rFonts w:ascii="Arial" w:hAnsi="Arial" w:cs="Arial"/>
          <w:lang w:val="en-US" w:bidi="ar-SA"/>
        </w:rPr>
      </w:pPr>
      <w:r w:rsidRPr="00DB167B">
        <w:rPr>
          <w:rFonts w:ascii="Arial" w:hAnsi="Arial" w:cs="Arial"/>
          <w:lang w:val="en-US" w:bidi="ar-SA"/>
        </w:rPr>
        <w:t>The pre</w:t>
      </w:r>
      <w:r w:rsidR="005E1705">
        <w:rPr>
          <w:rFonts w:ascii="Arial" w:hAnsi="Arial" w:cs="Arial"/>
          <w:lang w:val="en-US" w:bidi="ar-SA"/>
        </w:rPr>
        <w:t>-</w:t>
      </w:r>
      <w:r w:rsidRPr="00DB167B">
        <w:rPr>
          <w:rFonts w:ascii="Arial" w:hAnsi="Arial" w:cs="Arial"/>
          <w:lang w:val="en-US" w:bidi="ar-SA"/>
        </w:rPr>
        <w:t>feasibility stage of the Southern Surat Project identified:</w:t>
      </w:r>
    </w:p>
    <w:p w14:paraId="07150261" w14:textId="2FF6A4D2" w:rsidR="007B4090" w:rsidRPr="00DB167B" w:rsidRDefault="007B4090" w:rsidP="00975C78">
      <w:pPr>
        <w:pStyle w:val="CTSCoBulletLevel1"/>
        <w:spacing w:after="120" w:line="276" w:lineRule="auto"/>
        <w:contextualSpacing/>
        <w:jc w:val="both"/>
        <w:rPr>
          <w:rFonts w:ascii="Arial" w:hAnsi="Arial" w:cs="Arial"/>
        </w:rPr>
      </w:pPr>
      <w:r w:rsidRPr="00DB167B">
        <w:rPr>
          <w:rFonts w:ascii="Arial" w:hAnsi="Arial" w:cs="Arial"/>
        </w:rPr>
        <w:t xml:space="preserve">No Precipice Sandstone core sections were acquired in wells drilled in EPQ10.  </w:t>
      </w:r>
    </w:p>
    <w:p w14:paraId="4C08E482" w14:textId="77C812C8" w:rsidR="007B4090" w:rsidRPr="00DB167B" w:rsidRDefault="007B4090" w:rsidP="00975C78">
      <w:pPr>
        <w:pStyle w:val="CTSCoBulletLevel1"/>
        <w:spacing w:after="120" w:line="276" w:lineRule="auto"/>
        <w:contextualSpacing/>
        <w:jc w:val="both"/>
        <w:rPr>
          <w:rFonts w:ascii="Arial" w:hAnsi="Arial" w:cs="Arial"/>
        </w:rPr>
      </w:pPr>
      <w:r w:rsidRPr="00DB167B">
        <w:rPr>
          <w:rFonts w:ascii="Arial" w:hAnsi="Arial" w:cs="Arial"/>
        </w:rPr>
        <w:t>The</w:t>
      </w:r>
      <w:r w:rsidR="00F22FE7">
        <w:rPr>
          <w:rFonts w:ascii="Arial" w:hAnsi="Arial" w:cs="Arial"/>
        </w:rPr>
        <w:t>re is a need</w:t>
      </w:r>
      <w:r w:rsidRPr="00DB167B">
        <w:rPr>
          <w:rFonts w:ascii="Arial" w:hAnsi="Arial" w:cs="Arial"/>
        </w:rPr>
        <w:t xml:space="preserve"> to establish the porosity an</w:t>
      </w:r>
      <w:bookmarkStart w:id="0" w:name="_GoBack"/>
      <w:bookmarkEnd w:id="0"/>
      <w:r w:rsidRPr="00DB167B">
        <w:rPr>
          <w:rFonts w:ascii="Arial" w:hAnsi="Arial" w:cs="Arial"/>
        </w:rPr>
        <w:t xml:space="preserve">d permeability </w:t>
      </w:r>
      <w:r w:rsidR="00F22FE7">
        <w:rPr>
          <w:rFonts w:ascii="Arial" w:hAnsi="Arial" w:cs="Arial"/>
        </w:rPr>
        <w:t>of</w:t>
      </w:r>
      <w:r w:rsidRPr="00DB167B">
        <w:rPr>
          <w:rFonts w:ascii="Arial" w:hAnsi="Arial" w:cs="Arial"/>
        </w:rPr>
        <w:t xml:space="preserve"> the </w:t>
      </w:r>
      <w:r w:rsidR="00F22FE7">
        <w:rPr>
          <w:rFonts w:ascii="Arial" w:hAnsi="Arial" w:cs="Arial"/>
        </w:rPr>
        <w:t>Precipice Sandstone in the southern Surat</w:t>
      </w:r>
      <w:r w:rsidRPr="00DB167B">
        <w:rPr>
          <w:rFonts w:ascii="Arial" w:hAnsi="Arial" w:cs="Arial"/>
        </w:rPr>
        <w:t xml:space="preserve"> </w:t>
      </w:r>
      <w:r w:rsidR="00F22FE7">
        <w:rPr>
          <w:rFonts w:ascii="Arial" w:hAnsi="Arial" w:cs="Arial"/>
        </w:rPr>
        <w:t>complex</w:t>
      </w:r>
      <w:r w:rsidRPr="00DB167B">
        <w:rPr>
          <w:rFonts w:ascii="Arial" w:hAnsi="Arial" w:cs="Arial"/>
        </w:rPr>
        <w:t>.</w:t>
      </w:r>
    </w:p>
    <w:p w14:paraId="0C331B95" w14:textId="793A7E5E" w:rsidR="007B4090" w:rsidRPr="00DB167B" w:rsidRDefault="007B4090" w:rsidP="00975C78">
      <w:pPr>
        <w:pStyle w:val="CTSCoBulletLevel1"/>
        <w:spacing w:after="120" w:line="276" w:lineRule="auto"/>
        <w:contextualSpacing/>
        <w:jc w:val="both"/>
        <w:rPr>
          <w:rFonts w:ascii="Arial" w:hAnsi="Arial" w:cs="Arial"/>
        </w:rPr>
      </w:pPr>
      <w:r w:rsidRPr="00DB167B">
        <w:rPr>
          <w:rFonts w:ascii="Arial" w:hAnsi="Arial" w:cs="Arial"/>
        </w:rPr>
        <w:t xml:space="preserve">For wells where no core material is available, </w:t>
      </w:r>
      <w:r w:rsidR="00F22FE7">
        <w:rPr>
          <w:rFonts w:ascii="Arial" w:hAnsi="Arial" w:cs="Arial"/>
        </w:rPr>
        <w:t>n</w:t>
      </w:r>
      <w:r w:rsidRPr="00DB167B">
        <w:rPr>
          <w:rFonts w:ascii="Arial" w:hAnsi="Arial" w:cs="Arial"/>
        </w:rPr>
        <w:t xml:space="preserve">o </w:t>
      </w:r>
      <w:r w:rsidR="00F22FE7" w:rsidRPr="00DB167B">
        <w:rPr>
          <w:rFonts w:ascii="Arial" w:hAnsi="Arial" w:cs="Arial"/>
        </w:rPr>
        <w:t>detailed qualitative description of drill cuttings</w:t>
      </w:r>
      <w:r w:rsidR="00F22FE7" w:rsidRPr="00DB167B">
        <w:rPr>
          <w:rFonts w:ascii="Arial" w:hAnsi="Arial" w:cs="Arial"/>
        </w:rPr>
        <w:t xml:space="preserve"> </w:t>
      </w:r>
      <w:r w:rsidRPr="00DB167B">
        <w:rPr>
          <w:rFonts w:ascii="Arial" w:hAnsi="Arial" w:cs="Arial"/>
        </w:rPr>
        <w:t>has been done on the Precipice Sandstone in the AOI.</w:t>
      </w:r>
    </w:p>
    <w:p w14:paraId="1FB5DA21" w14:textId="77777777" w:rsidR="007B4090" w:rsidRPr="00DB167B" w:rsidRDefault="007B4090" w:rsidP="00975C78">
      <w:pPr>
        <w:pStyle w:val="CTSCoBulletLevel1"/>
        <w:spacing w:after="120" w:line="276" w:lineRule="auto"/>
        <w:contextualSpacing/>
        <w:jc w:val="both"/>
        <w:rPr>
          <w:rFonts w:ascii="Arial" w:hAnsi="Arial" w:cs="Arial"/>
        </w:rPr>
      </w:pPr>
      <w:r w:rsidRPr="00DB167B">
        <w:rPr>
          <w:rFonts w:ascii="Arial" w:hAnsi="Arial" w:cs="Arial"/>
        </w:rPr>
        <w:t xml:space="preserve">No trace metal analysis data has been found in the public domain database that allows heavy metal assessment. Such datasets may be essential dependent on the outcomes of the current ANLEC funded UQ trace metal study. </w:t>
      </w:r>
    </w:p>
    <w:p w14:paraId="22BE157A" w14:textId="51804DDE" w:rsidR="0096135C" w:rsidRDefault="0096135C" w:rsidP="00975C78">
      <w:pPr>
        <w:spacing w:before="80" w:after="80"/>
        <w:jc w:val="both"/>
        <w:rPr>
          <w:rFonts w:ascii="Arial" w:hAnsi="Arial" w:cs="Arial"/>
          <w:b/>
          <w:i/>
          <w:color w:val="31849B"/>
        </w:rPr>
      </w:pPr>
      <w:r w:rsidRPr="00DB167B">
        <w:rPr>
          <w:rFonts w:ascii="Arial" w:hAnsi="Arial" w:cs="Arial"/>
          <w:b/>
          <w:i/>
          <w:color w:val="31849B"/>
        </w:rPr>
        <w:t>Research Objective</w:t>
      </w:r>
    </w:p>
    <w:p w14:paraId="42382CB1" w14:textId="39E39312" w:rsidR="006D6869" w:rsidRPr="00975C78" w:rsidRDefault="005E1705" w:rsidP="00975C78">
      <w:pPr>
        <w:pStyle w:val="CTSCoBulletLevel1"/>
        <w:numPr>
          <w:ilvl w:val="0"/>
          <w:numId w:val="0"/>
        </w:numPr>
        <w:spacing w:line="276" w:lineRule="auto"/>
        <w:jc w:val="both"/>
        <w:rPr>
          <w:rFonts w:ascii="Arial" w:hAnsi="Arial" w:cs="Arial"/>
        </w:rPr>
      </w:pPr>
      <w:r>
        <w:rPr>
          <w:rFonts w:ascii="Arial" w:hAnsi="Arial" w:cs="Arial"/>
          <w:color w:val="262626" w:themeColor="text1" w:themeTint="D9"/>
        </w:rPr>
        <w:t xml:space="preserve">This project aims to provide </w:t>
      </w:r>
      <w:r w:rsidRPr="00DB167B">
        <w:rPr>
          <w:rFonts w:ascii="Arial" w:hAnsi="Arial" w:cs="Arial"/>
          <w:lang w:bidi="ar-SA"/>
        </w:rPr>
        <w:t xml:space="preserve">a </w:t>
      </w:r>
      <w:r>
        <w:rPr>
          <w:rFonts w:ascii="Arial" w:hAnsi="Arial" w:cs="Arial"/>
          <w:lang w:bidi="ar-SA"/>
        </w:rPr>
        <w:t>high-</w:t>
      </w:r>
      <w:r w:rsidRPr="00DB167B">
        <w:rPr>
          <w:rFonts w:ascii="Arial" w:hAnsi="Arial" w:cs="Arial"/>
          <w:lang w:bidi="ar-SA"/>
        </w:rPr>
        <w:t xml:space="preserve">quality database of </w:t>
      </w:r>
      <w:r>
        <w:rPr>
          <w:rFonts w:ascii="Arial" w:hAnsi="Arial" w:cs="Arial"/>
          <w:lang w:bidi="ar-SA"/>
        </w:rPr>
        <w:t>the Surat Basin rock properties from drill cuttings.</w:t>
      </w:r>
      <w:r w:rsidR="00975C78">
        <w:rPr>
          <w:rFonts w:ascii="Arial" w:hAnsi="Arial" w:cs="Arial"/>
          <w:lang w:bidi="ar-SA"/>
        </w:rPr>
        <w:t xml:space="preserve"> </w:t>
      </w:r>
      <w:r w:rsidR="00975C78" w:rsidRPr="00DB167B">
        <w:rPr>
          <w:rFonts w:ascii="Arial" w:hAnsi="Arial" w:cs="Arial"/>
        </w:rPr>
        <w:t xml:space="preserve">This </w:t>
      </w:r>
      <w:r w:rsidR="00975C78">
        <w:rPr>
          <w:rFonts w:ascii="Arial" w:hAnsi="Arial" w:cs="Arial"/>
        </w:rPr>
        <w:t>p</w:t>
      </w:r>
      <w:r w:rsidR="00975C78" w:rsidRPr="00DB167B">
        <w:rPr>
          <w:rFonts w:ascii="Arial" w:hAnsi="Arial" w:cs="Arial"/>
        </w:rPr>
        <w:t>roject includes an allowance for commercial laboratory heavy metal extraction of a subset of the cuttings.</w:t>
      </w:r>
    </w:p>
    <w:p w14:paraId="54B02F09" w14:textId="34D61163" w:rsidR="00C36316" w:rsidRDefault="006D6869" w:rsidP="00975C78">
      <w:pPr>
        <w:spacing w:before="80" w:after="80"/>
        <w:jc w:val="both"/>
        <w:rPr>
          <w:rFonts w:ascii="Arial" w:hAnsi="Arial" w:cs="Arial"/>
          <w:b/>
          <w:i/>
          <w:color w:val="31849B"/>
        </w:rPr>
      </w:pPr>
      <w:r>
        <w:rPr>
          <w:rFonts w:ascii="Arial" w:hAnsi="Arial" w:cs="Arial"/>
          <w:b/>
          <w:i/>
          <w:color w:val="31849B"/>
        </w:rPr>
        <w:t>New Knowledge</w:t>
      </w:r>
    </w:p>
    <w:p w14:paraId="2D58A9A3" w14:textId="051D0E47" w:rsidR="006D6869" w:rsidRPr="00DB167B" w:rsidRDefault="006D6869" w:rsidP="00975C78">
      <w:pPr>
        <w:pStyle w:val="CTSCoBulletLevel1"/>
        <w:numPr>
          <w:ilvl w:val="0"/>
          <w:numId w:val="5"/>
        </w:numPr>
        <w:tabs>
          <w:tab w:val="left" w:pos="426"/>
        </w:tabs>
        <w:spacing w:line="276" w:lineRule="auto"/>
        <w:ind w:left="284" w:hanging="284"/>
        <w:jc w:val="both"/>
        <w:rPr>
          <w:rFonts w:ascii="Arial" w:hAnsi="Arial" w:cs="Arial"/>
        </w:rPr>
      </w:pPr>
      <w:r w:rsidRPr="00DB167B">
        <w:rPr>
          <w:rFonts w:ascii="Arial" w:hAnsi="Arial" w:cs="Arial"/>
        </w:rPr>
        <w:t xml:space="preserve">Precipice Sandstone </w:t>
      </w:r>
      <w:proofErr w:type="spellStart"/>
      <w:r w:rsidRPr="00DB167B">
        <w:rPr>
          <w:rFonts w:ascii="Arial" w:hAnsi="Arial" w:cs="Arial"/>
        </w:rPr>
        <w:t>poro</w:t>
      </w:r>
      <w:proofErr w:type="spellEnd"/>
      <w:r w:rsidRPr="00DB167B">
        <w:rPr>
          <w:rFonts w:ascii="Arial" w:hAnsi="Arial" w:cs="Arial"/>
        </w:rPr>
        <w:t>-perm profile based on drill cuttings for guiding the regional Precipice Sandstone static geological model as a complement to wireline log rock-property assessment.</w:t>
      </w:r>
    </w:p>
    <w:p w14:paraId="1365E02E" w14:textId="3F6E4A16" w:rsidR="006D6869" w:rsidRPr="006D6869" w:rsidRDefault="006D6869" w:rsidP="00975C78">
      <w:pPr>
        <w:pStyle w:val="CTSCoBulletLevel1"/>
        <w:numPr>
          <w:ilvl w:val="0"/>
          <w:numId w:val="5"/>
        </w:numPr>
        <w:tabs>
          <w:tab w:val="left" w:pos="426"/>
        </w:tabs>
        <w:spacing w:line="276" w:lineRule="auto"/>
        <w:ind w:left="284" w:hanging="284"/>
        <w:jc w:val="both"/>
        <w:rPr>
          <w:rFonts w:ascii="Arial" w:hAnsi="Arial" w:cs="Arial"/>
        </w:rPr>
      </w:pPr>
      <w:r>
        <w:rPr>
          <w:rFonts w:ascii="Arial" w:hAnsi="Arial" w:cs="Arial"/>
        </w:rPr>
        <w:t>A</w:t>
      </w:r>
      <w:r w:rsidRPr="00DB167B">
        <w:rPr>
          <w:rFonts w:ascii="Arial" w:hAnsi="Arial" w:cs="Arial"/>
        </w:rPr>
        <w:t xml:space="preserve"> report on the workflow, process, issues arising and interpretation of the cuttings samples. </w:t>
      </w:r>
    </w:p>
    <w:p w14:paraId="0599B9A2" w14:textId="5C746B93" w:rsidR="0096135C" w:rsidRPr="00DB167B" w:rsidRDefault="0096135C" w:rsidP="00975C78">
      <w:pPr>
        <w:spacing w:before="80" w:after="80"/>
        <w:jc w:val="both"/>
        <w:rPr>
          <w:rFonts w:ascii="Arial" w:hAnsi="Arial" w:cs="Arial"/>
          <w:b/>
          <w:i/>
          <w:color w:val="31849B"/>
        </w:rPr>
      </w:pPr>
      <w:r w:rsidRPr="00DB167B">
        <w:rPr>
          <w:rFonts w:ascii="Arial" w:hAnsi="Arial" w:cs="Arial"/>
          <w:b/>
          <w:i/>
          <w:color w:val="31849B"/>
        </w:rPr>
        <w:t>Work Program</w:t>
      </w:r>
    </w:p>
    <w:p w14:paraId="1EEC6A87" w14:textId="0FED7166" w:rsidR="00A65124" w:rsidRPr="00750449" w:rsidRDefault="00A65124" w:rsidP="00975C78">
      <w:pPr>
        <w:pStyle w:val="CTSCoBulletLevel1"/>
        <w:spacing w:line="276" w:lineRule="auto"/>
        <w:jc w:val="both"/>
        <w:rPr>
          <w:rFonts w:ascii="Arial" w:hAnsi="Arial" w:cs="Arial"/>
        </w:rPr>
      </w:pPr>
      <w:r w:rsidRPr="00DB167B">
        <w:rPr>
          <w:rFonts w:ascii="Arial" w:hAnsi="Arial" w:cs="Arial"/>
        </w:rPr>
        <w:t>Review the suitability of the available cutting of the Precipice Sandstone from the following southern Surat petroleum wells, for Rock Typing.  The following wells have been short-listed for analysis, however other wells may be substituted if they provide better datasets:</w:t>
      </w:r>
      <w:r w:rsidR="00750449">
        <w:rPr>
          <w:rFonts w:ascii="Arial" w:hAnsi="Arial" w:cs="Arial"/>
        </w:rPr>
        <w:t xml:space="preserve"> </w:t>
      </w:r>
      <w:proofErr w:type="spellStart"/>
      <w:r w:rsidRPr="00750449">
        <w:rPr>
          <w:rFonts w:ascii="Arial" w:hAnsi="Arial" w:cs="Arial"/>
        </w:rPr>
        <w:t>Meandarra</w:t>
      </w:r>
      <w:proofErr w:type="spellEnd"/>
      <w:r w:rsidRPr="00750449">
        <w:rPr>
          <w:rFonts w:ascii="Arial" w:hAnsi="Arial" w:cs="Arial"/>
        </w:rPr>
        <w:t xml:space="preserve"> 1</w:t>
      </w:r>
      <w:r w:rsidR="00750449">
        <w:rPr>
          <w:rFonts w:ascii="Arial" w:hAnsi="Arial" w:cs="Arial"/>
        </w:rPr>
        <w:t xml:space="preserve">, </w:t>
      </w:r>
      <w:r w:rsidRPr="00750449">
        <w:rPr>
          <w:rFonts w:ascii="Arial" w:hAnsi="Arial" w:cs="Arial"/>
        </w:rPr>
        <w:t>Tasmania 1</w:t>
      </w:r>
      <w:r w:rsidR="00750449">
        <w:rPr>
          <w:rFonts w:ascii="Arial" w:hAnsi="Arial" w:cs="Arial"/>
        </w:rPr>
        <w:t xml:space="preserve">, </w:t>
      </w:r>
      <w:r w:rsidRPr="00750449">
        <w:rPr>
          <w:rFonts w:ascii="Arial" w:hAnsi="Arial" w:cs="Arial"/>
        </w:rPr>
        <w:t>Daydream 1</w:t>
      </w:r>
      <w:r w:rsidR="00750449">
        <w:rPr>
          <w:rFonts w:ascii="Arial" w:hAnsi="Arial" w:cs="Arial"/>
        </w:rPr>
        <w:t xml:space="preserve">, </w:t>
      </w:r>
      <w:proofErr w:type="spellStart"/>
      <w:r w:rsidRPr="00750449">
        <w:rPr>
          <w:rFonts w:ascii="Arial" w:hAnsi="Arial" w:cs="Arial"/>
        </w:rPr>
        <w:t>Flinton</w:t>
      </w:r>
      <w:proofErr w:type="spellEnd"/>
      <w:r w:rsidRPr="00750449">
        <w:rPr>
          <w:rFonts w:ascii="Arial" w:hAnsi="Arial" w:cs="Arial"/>
        </w:rPr>
        <w:t xml:space="preserve"> 1</w:t>
      </w:r>
      <w:r w:rsidR="00750449">
        <w:rPr>
          <w:rFonts w:ascii="Arial" w:hAnsi="Arial" w:cs="Arial"/>
        </w:rPr>
        <w:t xml:space="preserve">, </w:t>
      </w:r>
      <w:proofErr w:type="spellStart"/>
      <w:r w:rsidRPr="00750449">
        <w:rPr>
          <w:rFonts w:ascii="Arial" w:hAnsi="Arial" w:cs="Arial"/>
        </w:rPr>
        <w:t>Milgara</w:t>
      </w:r>
      <w:proofErr w:type="spellEnd"/>
      <w:r w:rsidRPr="00750449">
        <w:rPr>
          <w:rFonts w:ascii="Arial" w:hAnsi="Arial" w:cs="Arial"/>
        </w:rPr>
        <w:t xml:space="preserve"> 1</w:t>
      </w:r>
      <w:r w:rsidR="00750449">
        <w:rPr>
          <w:rFonts w:ascii="Arial" w:hAnsi="Arial" w:cs="Arial"/>
        </w:rPr>
        <w:t xml:space="preserve"> and </w:t>
      </w:r>
      <w:proofErr w:type="spellStart"/>
      <w:r w:rsidRPr="00750449">
        <w:rPr>
          <w:rFonts w:ascii="Arial" w:hAnsi="Arial" w:cs="Arial"/>
        </w:rPr>
        <w:t>Coalbah</w:t>
      </w:r>
      <w:proofErr w:type="spellEnd"/>
      <w:r w:rsidRPr="00750449">
        <w:rPr>
          <w:rFonts w:ascii="Arial" w:hAnsi="Arial" w:cs="Arial"/>
        </w:rPr>
        <w:t xml:space="preserve"> </w:t>
      </w:r>
    </w:p>
    <w:p w14:paraId="6EBF7610" w14:textId="77777777" w:rsidR="00A65124" w:rsidRPr="00DB167B" w:rsidRDefault="00A65124" w:rsidP="00975C78">
      <w:pPr>
        <w:pStyle w:val="CTSCoBulletLevel1"/>
        <w:spacing w:line="276" w:lineRule="auto"/>
        <w:jc w:val="both"/>
        <w:rPr>
          <w:rFonts w:ascii="Arial" w:hAnsi="Arial" w:cs="Arial"/>
        </w:rPr>
      </w:pPr>
      <w:r w:rsidRPr="00DB167B">
        <w:rPr>
          <w:rFonts w:ascii="Arial" w:hAnsi="Arial" w:cs="Arial"/>
        </w:rPr>
        <w:t>Laboratory preparation of samples for visual analysis</w:t>
      </w:r>
    </w:p>
    <w:p w14:paraId="4221266B" w14:textId="0D648307" w:rsidR="00A65124" w:rsidRPr="00DB167B" w:rsidRDefault="00A65124" w:rsidP="00975C78">
      <w:pPr>
        <w:pStyle w:val="CTSCoBulletLevel1"/>
        <w:spacing w:line="276" w:lineRule="auto"/>
        <w:jc w:val="both"/>
        <w:rPr>
          <w:rFonts w:ascii="Arial" w:hAnsi="Arial" w:cs="Arial"/>
        </w:rPr>
      </w:pPr>
      <w:r w:rsidRPr="00DB167B">
        <w:rPr>
          <w:rFonts w:ascii="Arial" w:hAnsi="Arial" w:cs="Arial"/>
        </w:rPr>
        <w:t xml:space="preserve">Acquisition of routine core </w:t>
      </w:r>
      <w:r w:rsidR="00750449" w:rsidRPr="00DB167B">
        <w:rPr>
          <w:rFonts w:ascii="Arial" w:hAnsi="Arial" w:cs="Arial"/>
        </w:rPr>
        <w:t>analysis (</w:t>
      </w:r>
      <w:r w:rsidRPr="00DB167B">
        <w:rPr>
          <w:rFonts w:ascii="Arial" w:hAnsi="Arial" w:cs="Arial"/>
        </w:rPr>
        <w:t>RCA) porosity and permeability data from core plug samples from Coalbah-1.</w:t>
      </w:r>
    </w:p>
    <w:p w14:paraId="0CCBB236" w14:textId="77777777" w:rsidR="00A65124" w:rsidRPr="00DB167B" w:rsidRDefault="00A65124" w:rsidP="00975C78">
      <w:pPr>
        <w:pStyle w:val="CTSCoBulletLevel1"/>
        <w:spacing w:line="276" w:lineRule="auto"/>
        <w:jc w:val="both"/>
        <w:rPr>
          <w:rFonts w:ascii="Arial" w:hAnsi="Arial" w:cs="Arial"/>
        </w:rPr>
      </w:pPr>
      <w:r w:rsidRPr="00DB167B">
        <w:rPr>
          <w:rFonts w:ascii="Arial" w:hAnsi="Arial" w:cs="Arial"/>
        </w:rPr>
        <w:t>Inspect and interpret rock properties (porosity, permeability class, clay content etc.)</w:t>
      </w:r>
    </w:p>
    <w:p w14:paraId="7D808533" w14:textId="77777777" w:rsidR="00A65124" w:rsidRPr="00DB167B" w:rsidRDefault="00A65124" w:rsidP="00975C78">
      <w:pPr>
        <w:pStyle w:val="CTSCoBulletLevel1"/>
        <w:spacing w:line="276" w:lineRule="auto"/>
        <w:jc w:val="both"/>
        <w:rPr>
          <w:rFonts w:ascii="Arial" w:hAnsi="Arial" w:cs="Arial"/>
        </w:rPr>
      </w:pPr>
      <w:r w:rsidRPr="00DB167B">
        <w:rPr>
          <w:rFonts w:ascii="Arial" w:hAnsi="Arial" w:cs="Arial"/>
        </w:rPr>
        <w:t>Generate results in an XLS file suitable for uploading to Petrel</w:t>
      </w:r>
    </w:p>
    <w:p w14:paraId="4682EF96" w14:textId="77777777" w:rsidR="00A65124" w:rsidRPr="00DB167B" w:rsidRDefault="00A65124" w:rsidP="00975C78">
      <w:pPr>
        <w:pStyle w:val="CTSCoBulletLevel1"/>
        <w:spacing w:line="276" w:lineRule="auto"/>
        <w:jc w:val="both"/>
        <w:rPr>
          <w:rFonts w:ascii="Arial" w:hAnsi="Arial" w:cs="Arial"/>
        </w:rPr>
      </w:pPr>
      <w:r w:rsidRPr="00DB167B">
        <w:rPr>
          <w:rFonts w:ascii="Arial" w:hAnsi="Arial" w:cs="Arial"/>
        </w:rPr>
        <w:t xml:space="preserve">Heavy metals analysis on rock typed samples </w:t>
      </w:r>
    </w:p>
    <w:p w14:paraId="1C4B655D" w14:textId="08329307" w:rsidR="00DC103E" w:rsidRPr="00750449" w:rsidRDefault="00A65124" w:rsidP="00975C78">
      <w:pPr>
        <w:pStyle w:val="CTSCoBulletLevel1"/>
        <w:spacing w:line="276" w:lineRule="auto"/>
        <w:jc w:val="both"/>
        <w:rPr>
          <w:rFonts w:ascii="Arial" w:hAnsi="Arial" w:cs="Arial"/>
        </w:rPr>
      </w:pPr>
      <w:r w:rsidRPr="00DB167B">
        <w:rPr>
          <w:rFonts w:ascii="Arial" w:hAnsi="Arial" w:cs="Arial"/>
        </w:rPr>
        <w:t>Preparing a written report</w:t>
      </w:r>
    </w:p>
    <w:p w14:paraId="73BD702F" w14:textId="77777777" w:rsidR="0096135C" w:rsidRPr="00DB167B" w:rsidRDefault="0096135C" w:rsidP="00975C78">
      <w:pPr>
        <w:spacing w:before="80" w:after="80"/>
        <w:jc w:val="both"/>
        <w:rPr>
          <w:rFonts w:ascii="Arial" w:hAnsi="Arial" w:cs="Arial"/>
          <w:b/>
          <w:i/>
          <w:color w:val="31849B"/>
          <w:szCs w:val="22"/>
          <w:lang w:eastAsia="en-AU" w:bidi="ar-SA"/>
        </w:rPr>
      </w:pPr>
      <w:r w:rsidRPr="00DB167B">
        <w:rPr>
          <w:rFonts w:ascii="Arial" w:hAnsi="Arial" w:cs="Arial"/>
          <w:b/>
          <w:i/>
          <w:color w:val="31849B"/>
          <w:szCs w:val="22"/>
          <w:lang w:eastAsia="en-AU" w:bidi="ar-SA"/>
        </w:rPr>
        <w:t>Milestones</w:t>
      </w:r>
    </w:p>
    <w:p w14:paraId="6D49BFD1" w14:textId="77777777" w:rsidR="00C32707" w:rsidRPr="00DB167B" w:rsidRDefault="00C32707" w:rsidP="00975C78">
      <w:pPr>
        <w:pStyle w:val="Heading3"/>
        <w:numPr>
          <w:ilvl w:val="0"/>
          <w:numId w:val="0"/>
        </w:numPr>
        <w:spacing w:before="0" w:after="0" w:line="276" w:lineRule="auto"/>
        <w:ind w:left="680" w:hanging="680"/>
        <w:jc w:val="both"/>
        <w:rPr>
          <w:rFonts w:ascii="Arial" w:hAnsi="Arial" w:cs="Arial"/>
          <w:b w:val="0"/>
          <w:sz w:val="20"/>
        </w:rPr>
      </w:pPr>
      <w:bookmarkStart w:id="1" w:name="_Toc522543531"/>
      <w:r w:rsidRPr="00DB167B">
        <w:rPr>
          <w:rFonts w:ascii="Arial" w:hAnsi="Arial" w:cs="Arial"/>
          <w:b w:val="0"/>
          <w:sz w:val="20"/>
        </w:rPr>
        <w:t>Milestone 1: Availability and quality of Precipice Sandstone cuttings</w:t>
      </w:r>
      <w:bookmarkEnd w:id="1"/>
    </w:p>
    <w:p w14:paraId="203F6717" w14:textId="77777777" w:rsidR="00C32707" w:rsidRPr="00DB167B" w:rsidRDefault="00C32707" w:rsidP="00975C78">
      <w:pPr>
        <w:pStyle w:val="Heading3"/>
        <w:numPr>
          <w:ilvl w:val="0"/>
          <w:numId w:val="0"/>
        </w:numPr>
        <w:spacing w:before="0" w:after="0" w:line="276" w:lineRule="auto"/>
        <w:ind w:left="680" w:hanging="680"/>
        <w:jc w:val="both"/>
        <w:rPr>
          <w:rFonts w:ascii="Arial" w:hAnsi="Arial" w:cs="Arial"/>
          <w:b w:val="0"/>
          <w:sz w:val="20"/>
        </w:rPr>
      </w:pPr>
      <w:bookmarkStart w:id="2" w:name="_Toc522543532"/>
      <w:r w:rsidRPr="00DB167B">
        <w:rPr>
          <w:rFonts w:ascii="Arial" w:hAnsi="Arial" w:cs="Arial"/>
          <w:b w:val="0"/>
          <w:sz w:val="20"/>
        </w:rPr>
        <w:t>Milestone 2: Interpretation</w:t>
      </w:r>
      <w:bookmarkEnd w:id="2"/>
    </w:p>
    <w:p w14:paraId="57B7B6FC" w14:textId="77777777" w:rsidR="00C32707" w:rsidRPr="00DB167B" w:rsidRDefault="00C32707" w:rsidP="00975C78">
      <w:pPr>
        <w:pStyle w:val="Heading3"/>
        <w:numPr>
          <w:ilvl w:val="0"/>
          <w:numId w:val="0"/>
        </w:numPr>
        <w:spacing w:before="0" w:after="0" w:line="276" w:lineRule="auto"/>
        <w:ind w:left="680" w:hanging="680"/>
        <w:jc w:val="both"/>
        <w:rPr>
          <w:rFonts w:ascii="Arial" w:hAnsi="Arial" w:cs="Arial"/>
          <w:b w:val="0"/>
          <w:sz w:val="20"/>
        </w:rPr>
      </w:pPr>
      <w:bookmarkStart w:id="3" w:name="_Toc522543533"/>
      <w:r w:rsidRPr="00DB167B">
        <w:rPr>
          <w:rFonts w:ascii="Arial" w:hAnsi="Arial" w:cs="Arial"/>
          <w:b w:val="0"/>
          <w:sz w:val="20"/>
        </w:rPr>
        <w:t>Milestone 3: Report</w:t>
      </w:r>
      <w:bookmarkEnd w:id="3"/>
    </w:p>
    <w:p w14:paraId="697C761A" w14:textId="77777777" w:rsidR="00C507E0" w:rsidRPr="00DB167B" w:rsidRDefault="00975C78" w:rsidP="00975C78">
      <w:pPr>
        <w:jc w:val="both"/>
        <w:rPr>
          <w:rFonts w:ascii="Arial" w:hAnsi="Arial" w:cs="Arial"/>
        </w:rPr>
      </w:pPr>
    </w:p>
    <w:sectPr w:rsidR="00C507E0" w:rsidRPr="00DB167B" w:rsidSect="009613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69EB"/>
    <w:multiLevelType w:val="hybridMultilevel"/>
    <w:tmpl w:val="54744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732962"/>
    <w:multiLevelType w:val="hybridMultilevel"/>
    <w:tmpl w:val="4C303E2E"/>
    <w:lvl w:ilvl="0" w:tplc="E5CC7EB4">
      <w:start w:val="1"/>
      <w:numFmt w:val="bullet"/>
      <w:pStyle w:val="CTSCoBulletLevel2"/>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147E9"/>
    <w:multiLevelType w:val="hybridMultilevel"/>
    <w:tmpl w:val="CD249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6C4F07"/>
    <w:multiLevelType w:val="hybridMultilevel"/>
    <w:tmpl w:val="52D2C934"/>
    <w:lvl w:ilvl="0" w:tplc="63504C26">
      <w:start w:val="1"/>
      <w:numFmt w:val="bullet"/>
      <w:pStyle w:val="CTSCoBulletLevel1"/>
      <w:lvlText w:val=""/>
      <w:lvlJc w:val="left"/>
      <w:pPr>
        <w:ind w:left="644"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111EA1"/>
    <w:multiLevelType w:val="multilevel"/>
    <w:tmpl w:val="86F29754"/>
    <w:lvl w:ilvl="0">
      <w:start w:val="1"/>
      <w:numFmt w:val="decimal"/>
      <w:pStyle w:val="Heading1"/>
      <w:lvlText w:val="%1."/>
      <w:lvlJc w:val="left"/>
      <w:pPr>
        <w:ind w:left="680" w:hanging="680"/>
      </w:pPr>
      <w:rPr>
        <w:rFonts w:ascii="Calibri" w:hAnsi="Calibri" w:hint="default"/>
        <w:b/>
        <w:i w:val="0"/>
        <w:sz w:val="36"/>
      </w:rPr>
    </w:lvl>
    <w:lvl w:ilvl="1">
      <w:start w:val="1"/>
      <w:numFmt w:val="decimal"/>
      <w:pStyle w:val="Heading2"/>
      <w:lvlText w:val="%1.%2."/>
      <w:lvlJc w:val="left"/>
      <w:pPr>
        <w:ind w:left="680" w:hanging="680"/>
      </w:pPr>
      <w:rPr>
        <w:rFonts w:ascii="Calibri" w:hAnsi="Calibri" w:hint="default"/>
        <w:b/>
        <w:i w:val="0"/>
        <w:color w:val="1F8EAD"/>
        <w:sz w:val="28"/>
      </w:rPr>
    </w:lvl>
    <w:lvl w:ilvl="2">
      <w:start w:val="1"/>
      <w:numFmt w:val="decimal"/>
      <w:pStyle w:val="Heading3"/>
      <w:lvlText w:val="%1.%2.%3."/>
      <w:lvlJc w:val="left"/>
      <w:pPr>
        <w:ind w:left="680" w:hanging="680"/>
      </w:pPr>
      <w:rPr>
        <w:rFonts w:ascii="Calibri" w:hAnsi="Calibri" w:hint="default"/>
        <w:b/>
        <w:i w:val="0"/>
        <w:sz w:val="24"/>
      </w:rPr>
    </w:lvl>
    <w:lvl w:ilvl="3">
      <w:start w:val="1"/>
      <w:numFmt w:val="decimal"/>
      <w:pStyle w:val="Heading4"/>
      <w:lvlText w:val="%1.%2.%3.%4."/>
      <w:lvlJc w:val="left"/>
      <w:pPr>
        <w:ind w:left="680" w:hanging="680"/>
      </w:pPr>
      <w:rPr>
        <w:rFonts w:hint="default"/>
        <w:b/>
        <w:i/>
        <w:color w:val="1F8EAD"/>
        <w:sz w:val="24"/>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xMjYxNjEzNjM3M7BU0lEKTi0uzszPAykwqgUA0dwB8CwAAAA="/>
  </w:docVars>
  <w:rsids>
    <w:rsidRoot w:val="0096135C"/>
    <w:rsid w:val="00027B7F"/>
    <w:rsid w:val="000A2C14"/>
    <w:rsid w:val="000C3F8D"/>
    <w:rsid w:val="002411E4"/>
    <w:rsid w:val="0027463C"/>
    <w:rsid w:val="00284550"/>
    <w:rsid w:val="002B721C"/>
    <w:rsid w:val="002E5AD4"/>
    <w:rsid w:val="0031753C"/>
    <w:rsid w:val="00436E76"/>
    <w:rsid w:val="004A2FF1"/>
    <w:rsid w:val="005E1705"/>
    <w:rsid w:val="006D6869"/>
    <w:rsid w:val="00750449"/>
    <w:rsid w:val="007B4090"/>
    <w:rsid w:val="00834B1D"/>
    <w:rsid w:val="00871D8F"/>
    <w:rsid w:val="008D787A"/>
    <w:rsid w:val="008F7822"/>
    <w:rsid w:val="00923F14"/>
    <w:rsid w:val="0096135C"/>
    <w:rsid w:val="00975C78"/>
    <w:rsid w:val="009F503E"/>
    <w:rsid w:val="00A65124"/>
    <w:rsid w:val="00A6572F"/>
    <w:rsid w:val="00AB716F"/>
    <w:rsid w:val="00AC50A9"/>
    <w:rsid w:val="00BB2ED7"/>
    <w:rsid w:val="00C060C7"/>
    <w:rsid w:val="00C32707"/>
    <w:rsid w:val="00C36316"/>
    <w:rsid w:val="00CA273B"/>
    <w:rsid w:val="00DB167B"/>
    <w:rsid w:val="00DC103E"/>
    <w:rsid w:val="00F22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CF1A5"/>
  <w15:chartTrackingRefBased/>
  <w15:docId w15:val="{D01D2ACA-CC65-4A58-BC48-4A4C4061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35C"/>
    <w:pPr>
      <w:spacing w:before="200" w:after="200" w:line="276" w:lineRule="auto"/>
    </w:pPr>
    <w:rPr>
      <w:rFonts w:ascii="Calibri" w:eastAsia="Times New Roman" w:hAnsi="Calibri" w:cs="Times New Roman"/>
      <w:sz w:val="20"/>
      <w:szCs w:val="20"/>
      <w:lang w:bidi="en-US"/>
    </w:rPr>
  </w:style>
  <w:style w:type="paragraph" w:styleId="Heading1">
    <w:name w:val="heading 1"/>
    <w:basedOn w:val="CTSCoBodytext"/>
    <w:next w:val="CTSCoBodytext"/>
    <w:link w:val="Heading1Char"/>
    <w:uiPriority w:val="9"/>
    <w:qFormat/>
    <w:rsid w:val="008F7822"/>
    <w:pPr>
      <w:pageBreakBefore/>
      <w:numPr>
        <w:numId w:val="3"/>
      </w:numPr>
      <w:outlineLvl w:val="0"/>
    </w:pPr>
    <w:rPr>
      <w:b/>
      <w:sz w:val="36"/>
      <w:szCs w:val="36"/>
    </w:rPr>
  </w:style>
  <w:style w:type="paragraph" w:styleId="Heading2">
    <w:name w:val="heading 2"/>
    <w:basedOn w:val="Normal"/>
    <w:next w:val="CTSCoBodytext"/>
    <w:link w:val="Heading2Char"/>
    <w:autoRedefine/>
    <w:uiPriority w:val="9"/>
    <w:unhideWhenUsed/>
    <w:qFormat/>
    <w:rsid w:val="008F7822"/>
    <w:pPr>
      <w:keepNext/>
      <w:numPr>
        <w:ilvl w:val="1"/>
        <w:numId w:val="3"/>
      </w:numPr>
      <w:spacing w:before="240" w:line="240" w:lineRule="auto"/>
      <w:outlineLvl w:val="1"/>
    </w:pPr>
    <w:rPr>
      <w:rFonts w:asciiTheme="minorHAnsi" w:eastAsiaTheme="majorEastAsia" w:hAnsiTheme="minorHAnsi" w:cstheme="majorBidi"/>
      <w:b/>
      <w:color w:val="1F8EAD"/>
      <w:sz w:val="28"/>
      <w:szCs w:val="26"/>
    </w:rPr>
  </w:style>
  <w:style w:type="paragraph" w:styleId="Heading3">
    <w:name w:val="heading 3"/>
    <w:basedOn w:val="Normal"/>
    <w:next w:val="CTSCoBodytext"/>
    <w:link w:val="Heading3Char"/>
    <w:autoRedefine/>
    <w:uiPriority w:val="9"/>
    <w:unhideWhenUsed/>
    <w:qFormat/>
    <w:rsid w:val="008F7822"/>
    <w:pPr>
      <w:keepNext/>
      <w:keepLines/>
      <w:numPr>
        <w:ilvl w:val="2"/>
        <w:numId w:val="3"/>
      </w:numPr>
      <w:spacing w:before="240" w:after="120" w:line="240" w:lineRule="auto"/>
      <w:outlineLvl w:val="2"/>
    </w:pPr>
    <w:rPr>
      <w:rFonts w:eastAsiaTheme="majorEastAsia" w:cstheme="majorBidi"/>
      <w:b/>
      <w:sz w:val="24"/>
      <w:szCs w:val="24"/>
      <w:lang w:val="en-US" w:bidi="ar-SA"/>
    </w:rPr>
  </w:style>
  <w:style w:type="paragraph" w:styleId="Heading4">
    <w:name w:val="heading 4"/>
    <w:basedOn w:val="CTSCoBodytext"/>
    <w:next w:val="CTSCoBodytext"/>
    <w:link w:val="Heading4Char"/>
    <w:uiPriority w:val="9"/>
    <w:unhideWhenUsed/>
    <w:rsid w:val="008F7822"/>
    <w:pPr>
      <w:numPr>
        <w:ilvl w:val="3"/>
        <w:numId w:val="3"/>
      </w:numPr>
      <w:spacing w:before="240"/>
      <w:outlineLvl w:val="3"/>
    </w:pPr>
    <w:rPr>
      <w:b/>
      <w:i/>
      <w:color w:val="1F8EA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135C"/>
    <w:pPr>
      <w:ind w:left="720"/>
      <w:contextualSpacing/>
    </w:pPr>
  </w:style>
  <w:style w:type="character" w:customStyle="1" w:styleId="ListParagraphChar">
    <w:name w:val="List Paragraph Char"/>
    <w:basedOn w:val="DefaultParagraphFont"/>
    <w:link w:val="ListParagraph"/>
    <w:uiPriority w:val="34"/>
    <w:locked/>
    <w:rsid w:val="0096135C"/>
    <w:rPr>
      <w:rFonts w:ascii="Calibri" w:eastAsia="Times New Roman" w:hAnsi="Calibri" w:cs="Times New Roman"/>
      <w:sz w:val="20"/>
      <w:szCs w:val="20"/>
      <w:lang w:bidi="en-US"/>
    </w:rPr>
  </w:style>
  <w:style w:type="table" w:styleId="LightShading">
    <w:name w:val="Light Shading"/>
    <w:basedOn w:val="TableNormal"/>
    <w:uiPriority w:val="60"/>
    <w:rsid w:val="0096135C"/>
    <w:pPr>
      <w:spacing w:after="0" w:line="240" w:lineRule="auto"/>
    </w:pPr>
    <w:rPr>
      <w:rFonts w:ascii="Calibri" w:eastAsia="SimSun" w:hAnsi="Calibri" w:cs="Times New Roman"/>
      <w:color w:val="000000" w:themeColor="text1" w:themeShade="BF"/>
      <w:sz w:val="20"/>
      <w:szCs w:val="20"/>
      <w:lang w:eastAsia="en-AU"/>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hemeFill="text1" w:themeFillTint="3F"/>
      </w:tcPr>
    </w:tblStylePr>
    <w:tblStylePr w:type="band1Horz">
      <w:rPr>
        <w:rFonts w:cs="Times New Roman"/>
      </w:rPr>
      <w:tblPr/>
      <w:tcPr>
        <w:tcBorders>
          <w:left w:val="nil"/>
          <w:right w:val="nil"/>
          <w:insideH w:val="nil"/>
          <w:insideV w:val="nil"/>
        </w:tcBorders>
        <w:shd w:val="clear" w:color="auto" w:fill="C0C0C0" w:themeFill="text1" w:themeFillTint="3F"/>
      </w:tcPr>
    </w:tblStylePr>
  </w:style>
  <w:style w:type="paragraph" w:customStyle="1" w:styleId="CTSCoBodytext">
    <w:name w:val="CTSCo Body text"/>
    <w:basedOn w:val="Normal"/>
    <w:link w:val="CTSCoBodytextChar"/>
    <w:autoRedefine/>
    <w:qFormat/>
    <w:rsid w:val="00AC50A9"/>
    <w:pPr>
      <w:spacing w:line="240" w:lineRule="auto"/>
    </w:pPr>
    <w:rPr>
      <w:rFonts w:eastAsiaTheme="minorHAnsi" w:cstheme="majorHAnsi"/>
      <w:noProof/>
      <w:szCs w:val="22"/>
    </w:rPr>
  </w:style>
  <w:style w:type="character" w:customStyle="1" w:styleId="CTSCoBodytextChar">
    <w:name w:val="CTSCo Body text Char"/>
    <w:basedOn w:val="DefaultParagraphFont"/>
    <w:link w:val="CTSCoBodytext"/>
    <w:rsid w:val="00AC50A9"/>
    <w:rPr>
      <w:rFonts w:ascii="Calibri" w:hAnsi="Calibri" w:cstheme="majorHAnsi"/>
      <w:noProof/>
      <w:sz w:val="20"/>
      <w:lang w:bidi="en-US"/>
    </w:rPr>
  </w:style>
  <w:style w:type="paragraph" w:customStyle="1" w:styleId="CTSCoBulletLevel1">
    <w:name w:val="CTSCo Bullet Level 1"/>
    <w:basedOn w:val="Normal"/>
    <w:link w:val="CTSCoBulletLevel1Char"/>
    <w:autoRedefine/>
    <w:qFormat/>
    <w:rsid w:val="00C36316"/>
    <w:pPr>
      <w:numPr>
        <w:numId w:val="2"/>
      </w:numPr>
      <w:spacing w:before="0" w:after="100" w:line="240" w:lineRule="auto"/>
      <w:ind w:left="357" w:hanging="357"/>
    </w:pPr>
    <w:rPr>
      <w:rFonts w:eastAsiaTheme="minorHAnsi" w:cstheme="majorHAnsi"/>
      <w:szCs w:val="22"/>
      <w:lang w:val="en-US"/>
    </w:rPr>
  </w:style>
  <w:style w:type="character" w:customStyle="1" w:styleId="CTSCoBulletLevel1Char">
    <w:name w:val="CTSCo Bullet Level 1 Char"/>
    <w:basedOn w:val="DefaultParagraphFont"/>
    <w:link w:val="CTSCoBulletLevel1"/>
    <w:rsid w:val="00C36316"/>
    <w:rPr>
      <w:rFonts w:ascii="Calibri" w:hAnsi="Calibri" w:cstheme="majorHAnsi"/>
      <w:sz w:val="20"/>
      <w:lang w:val="en-US" w:bidi="en-US"/>
    </w:rPr>
  </w:style>
  <w:style w:type="character" w:customStyle="1" w:styleId="Heading1Char">
    <w:name w:val="Heading 1 Char"/>
    <w:basedOn w:val="DefaultParagraphFont"/>
    <w:link w:val="Heading1"/>
    <w:uiPriority w:val="9"/>
    <w:rsid w:val="008F7822"/>
    <w:rPr>
      <w:rFonts w:ascii="Calibri" w:hAnsi="Calibri" w:cstheme="majorHAnsi"/>
      <w:b/>
      <w:noProof/>
      <w:sz w:val="36"/>
      <w:szCs w:val="36"/>
      <w:lang w:bidi="en-US"/>
    </w:rPr>
  </w:style>
  <w:style w:type="character" w:customStyle="1" w:styleId="Heading2Char">
    <w:name w:val="Heading 2 Char"/>
    <w:basedOn w:val="DefaultParagraphFont"/>
    <w:link w:val="Heading2"/>
    <w:uiPriority w:val="9"/>
    <w:rsid w:val="008F7822"/>
    <w:rPr>
      <w:rFonts w:eastAsiaTheme="majorEastAsia" w:cstheme="majorBidi"/>
      <w:b/>
      <w:color w:val="1F8EAD"/>
      <w:sz w:val="28"/>
      <w:szCs w:val="26"/>
      <w:lang w:bidi="en-US"/>
    </w:rPr>
  </w:style>
  <w:style w:type="character" w:customStyle="1" w:styleId="Heading3Char">
    <w:name w:val="Heading 3 Char"/>
    <w:basedOn w:val="DefaultParagraphFont"/>
    <w:link w:val="Heading3"/>
    <w:uiPriority w:val="9"/>
    <w:rsid w:val="008F7822"/>
    <w:rPr>
      <w:rFonts w:ascii="Calibri" w:eastAsiaTheme="majorEastAsia" w:hAnsi="Calibri" w:cstheme="majorBidi"/>
      <w:b/>
      <w:sz w:val="24"/>
      <w:szCs w:val="24"/>
      <w:lang w:val="en-US"/>
    </w:rPr>
  </w:style>
  <w:style w:type="character" w:customStyle="1" w:styleId="Heading4Char">
    <w:name w:val="Heading 4 Char"/>
    <w:basedOn w:val="DefaultParagraphFont"/>
    <w:link w:val="Heading4"/>
    <w:uiPriority w:val="9"/>
    <w:rsid w:val="008F7822"/>
    <w:rPr>
      <w:rFonts w:ascii="Calibri" w:hAnsi="Calibri" w:cstheme="majorHAnsi"/>
      <w:b/>
      <w:i/>
      <w:noProof/>
      <w:color w:val="1F8EAD"/>
      <w:sz w:val="20"/>
      <w:lang w:val="en-US" w:bidi="en-US"/>
    </w:rPr>
  </w:style>
  <w:style w:type="paragraph" w:customStyle="1" w:styleId="CTSCoBulletLevel2">
    <w:name w:val="CTSCo Bullet Level 2"/>
    <w:basedOn w:val="Normal"/>
    <w:autoRedefine/>
    <w:qFormat/>
    <w:rsid w:val="000C3F8D"/>
    <w:pPr>
      <w:numPr>
        <w:numId w:val="4"/>
      </w:numPr>
      <w:spacing w:before="0" w:after="100" w:line="240" w:lineRule="auto"/>
    </w:pPr>
    <w:rPr>
      <w:rFonts w:asciiTheme="minorHAnsi" w:eastAsiaTheme="minorHAnsi" w:hAnsiTheme="minorHAnsi" w:cstheme="minorBidi"/>
      <w:szCs w:val="22"/>
      <w:lang w:val="en-US"/>
    </w:rPr>
  </w:style>
  <w:style w:type="paragraph" w:customStyle="1" w:styleId="CTSCoBodyTextBold">
    <w:name w:val="CTSCo Body Text Bold"/>
    <w:basedOn w:val="CTSCoBodytext"/>
    <w:link w:val="CTSCoBodyTextBoldChar"/>
    <w:rsid w:val="00AB716F"/>
    <w:rPr>
      <w:b/>
    </w:rPr>
  </w:style>
  <w:style w:type="character" w:customStyle="1" w:styleId="CTSCoBodyTextBoldChar">
    <w:name w:val="CTSCo Body Text Bold Char"/>
    <w:basedOn w:val="CTSCoBodytextChar"/>
    <w:link w:val="CTSCoBodyTextBold"/>
    <w:rsid w:val="00AB716F"/>
    <w:rPr>
      <w:rFonts w:ascii="Calibri" w:hAnsi="Calibri" w:cstheme="majorHAnsi"/>
      <w:b/>
      <w:noProof/>
      <w:sz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Tyiasning</dc:creator>
  <cp:keywords/>
  <dc:description/>
  <cp:lastModifiedBy>Stephanie Tyiasning</cp:lastModifiedBy>
  <cp:revision>14</cp:revision>
  <dcterms:created xsi:type="dcterms:W3CDTF">2018-09-04T00:52:00Z</dcterms:created>
  <dcterms:modified xsi:type="dcterms:W3CDTF">2018-09-07T00:31:00Z</dcterms:modified>
</cp:coreProperties>
</file>