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790"/>
        <w:tblW w:w="1059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31849B"/>
        <w:tblLook w:val="04A0" w:firstRow="1" w:lastRow="0" w:firstColumn="1" w:lastColumn="0" w:noHBand="0" w:noVBand="1"/>
      </w:tblPr>
      <w:tblGrid>
        <w:gridCol w:w="3397"/>
        <w:gridCol w:w="3544"/>
        <w:gridCol w:w="3657"/>
      </w:tblGrid>
      <w:tr w:rsidR="008F4FC5" w:rsidRPr="00B31AAA" w14:paraId="666E6FA4" w14:textId="77777777" w:rsidTr="008A399B">
        <w:trPr>
          <w:trHeight w:val="837"/>
        </w:trPr>
        <w:tc>
          <w:tcPr>
            <w:tcW w:w="6941" w:type="dxa"/>
            <w:gridSpan w:val="2"/>
            <w:shd w:val="clear" w:color="auto" w:fill="31849B"/>
          </w:tcPr>
          <w:p w14:paraId="031F0C63" w14:textId="77777777" w:rsidR="008F4FC5" w:rsidRDefault="008F4FC5" w:rsidP="008F4FC5">
            <w:pPr>
              <w:spacing w:before="120" w:after="0" w:line="240" w:lineRule="auto"/>
              <w:rPr>
                <w:rFonts w:ascii="Arial" w:hAnsi="Arial" w:cs="Arial"/>
                <w:color w:val="FFFFFF" w:themeColor="background1"/>
              </w:rPr>
            </w:pPr>
            <w:r w:rsidRPr="00B31AAA">
              <w:rPr>
                <w:rFonts w:ascii="Arial" w:hAnsi="Arial" w:cs="Arial"/>
                <w:color w:val="FFFFFF" w:themeColor="background1"/>
              </w:rPr>
              <w:t>Title</w:t>
            </w:r>
            <w:r>
              <w:rPr>
                <w:rFonts w:ascii="Arial" w:hAnsi="Arial" w:cs="Arial"/>
                <w:color w:val="FFFFFF" w:themeColor="background1"/>
              </w:rPr>
              <w:t xml:space="preserve">: </w:t>
            </w:r>
            <w:r w:rsidRPr="00B31AAA">
              <w:rPr>
                <w:rFonts w:ascii="Arial" w:hAnsi="Arial" w:cs="Arial"/>
                <w:color w:val="FFFFFF" w:themeColor="background1"/>
              </w:rPr>
              <w:t>Bentonite Plugs for low cost CCS well abandonment</w:t>
            </w:r>
          </w:p>
          <w:p w14:paraId="592ADDDF" w14:textId="6A4402BB" w:rsidR="008F4FC5" w:rsidRPr="00B31AAA" w:rsidRDefault="008F4FC5" w:rsidP="008F4FC5">
            <w:pPr>
              <w:spacing w:before="120" w:after="0" w:line="240" w:lineRule="auto"/>
              <w:rPr>
                <w:rFonts w:ascii="Arial" w:hAnsi="Arial" w:cs="Arial"/>
                <w:color w:val="FFFFFF" w:themeColor="background1"/>
              </w:rPr>
            </w:pPr>
            <w:r>
              <w:rPr>
                <w:rFonts w:ascii="Arial" w:hAnsi="Arial" w:cs="Arial"/>
                <w:color w:val="FFFFFF" w:themeColor="background1"/>
              </w:rPr>
              <w:t xml:space="preserve">Project Leader: </w:t>
            </w:r>
          </w:p>
        </w:tc>
        <w:tc>
          <w:tcPr>
            <w:tcW w:w="3657" w:type="dxa"/>
            <w:shd w:val="clear" w:color="auto" w:fill="31849B"/>
          </w:tcPr>
          <w:p w14:paraId="5C8E9EC9" w14:textId="2F3ED89C" w:rsidR="008F4FC5" w:rsidRPr="00B31AAA" w:rsidRDefault="008F4FC5" w:rsidP="008F4FC5">
            <w:pPr>
              <w:spacing w:before="120" w:after="0" w:line="240" w:lineRule="auto"/>
              <w:rPr>
                <w:rFonts w:ascii="Arial" w:hAnsi="Arial" w:cs="Arial"/>
                <w:color w:val="FFFFFF" w:themeColor="background1"/>
              </w:rPr>
            </w:pPr>
            <w:r w:rsidRPr="00B31AAA">
              <w:rPr>
                <w:rFonts w:ascii="Arial" w:hAnsi="Arial" w:cs="Arial"/>
                <w:color w:val="FFFFFF" w:themeColor="background1"/>
              </w:rPr>
              <w:t xml:space="preserve">Demo supported research: </w:t>
            </w:r>
            <w:r>
              <w:rPr>
                <w:rFonts w:ascii="Arial" w:hAnsi="Arial" w:cs="Arial"/>
                <w:color w:val="FFFFFF" w:themeColor="background1"/>
              </w:rPr>
              <w:t>CTSC</w:t>
            </w:r>
            <w:r w:rsidR="002E6AD2">
              <w:rPr>
                <w:rFonts w:ascii="Arial" w:hAnsi="Arial" w:cs="Arial"/>
                <w:color w:val="FFFFFF" w:themeColor="background1"/>
              </w:rPr>
              <w:t>o</w:t>
            </w:r>
            <w:bookmarkStart w:id="0" w:name="_GoBack"/>
            <w:bookmarkEnd w:id="0"/>
          </w:p>
        </w:tc>
      </w:tr>
      <w:tr w:rsidR="008A399B" w:rsidRPr="00B31AAA" w14:paraId="6C952F70" w14:textId="77777777" w:rsidTr="008A399B">
        <w:trPr>
          <w:trHeight w:val="835"/>
        </w:trPr>
        <w:tc>
          <w:tcPr>
            <w:tcW w:w="3397" w:type="dxa"/>
            <w:shd w:val="clear" w:color="auto" w:fill="31849B"/>
          </w:tcPr>
          <w:p w14:paraId="35BDD2A0" w14:textId="77777777" w:rsidR="008A399B" w:rsidRPr="00B31AAA" w:rsidRDefault="008A399B" w:rsidP="008A399B">
            <w:pPr>
              <w:spacing w:before="120" w:after="120" w:line="240" w:lineRule="auto"/>
              <w:rPr>
                <w:rFonts w:ascii="Arial" w:hAnsi="Arial" w:cs="Arial"/>
                <w:color w:val="FFFFFF" w:themeColor="background1"/>
              </w:rPr>
            </w:pPr>
            <w:r w:rsidRPr="00B31AAA">
              <w:rPr>
                <w:rFonts w:ascii="Arial" w:hAnsi="Arial" w:cs="Arial"/>
                <w:color w:val="FFFFFF" w:themeColor="background1"/>
              </w:rPr>
              <w:t xml:space="preserve">Project Number: </w:t>
            </w:r>
            <w:r w:rsidRPr="00B31AAA">
              <w:rPr>
                <w:rFonts w:ascii="Arial" w:hAnsi="Arial" w:cs="Arial"/>
                <w:i/>
                <w:color w:val="FFFFFF" w:themeColor="background1"/>
              </w:rPr>
              <w:t>ANLEC TBD</w:t>
            </w:r>
          </w:p>
          <w:p w14:paraId="4E461B1E" w14:textId="77777777" w:rsidR="008A399B" w:rsidRPr="00B31AAA" w:rsidRDefault="008A399B" w:rsidP="008A399B">
            <w:pPr>
              <w:spacing w:before="120" w:after="120" w:line="240" w:lineRule="auto"/>
              <w:rPr>
                <w:rFonts w:ascii="Arial" w:hAnsi="Arial" w:cs="Arial"/>
                <w:color w:val="FFFFFF" w:themeColor="background1"/>
              </w:rPr>
            </w:pPr>
            <w:r w:rsidRPr="00B31AAA">
              <w:rPr>
                <w:rFonts w:ascii="Arial" w:hAnsi="Arial" w:cs="Arial"/>
                <w:color w:val="FFFFFF" w:themeColor="background1"/>
              </w:rPr>
              <w:t xml:space="preserve">Status: </w:t>
            </w:r>
            <w:r w:rsidRPr="00B31AAA">
              <w:rPr>
                <w:rFonts w:ascii="Arial" w:hAnsi="Arial" w:cs="Arial"/>
                <w:i/>
                <w:color w:val="FFFFFF" w:themeColor="background1"/>
              </w:rPr>
              <w:t>Under Development</w:t>
            </w:r>
          </w:p>
        </w:tc>
        <w:tc>
          <w:tcPr>
            <w:tcW w:w="3544" w:type="dxa"/>
            <w:shd w:val="clear" w:color="auto" w:fill="31849B"/>
          </w:tcPr>
          <w:p w14:paraId="728B2350" w14:textId="77777777" w:rsidR="008A399B" w:rsidRPr="00B31AAA" w:rsidRDefault="008A399B" w:rsidP="008A399B">
            <w:pPr>
              <w:spacing w:before="120" w:after="120" w:line="240" w:lineRule="auto"/>
              <w:rPr>
                <w:rFonts w:ascii="Arial" w:hAnsi="Arial" w:cs="Arial"/>
                <w:color w:val="FFFFFF" w:themeColor="background1"/>
              </w:rPr>
            </w:pPr>
            <w:r w:rsidRPr="00B31AAA">
              <w:rPr>
                <w:rFonts w:ascii="Arial" w:hAnsi="Arial" w:cs="Arial"/>
                <w:color w:val="FFFFFF" w:themeColor="background1"/>
              </w:rPr>
              <w:t>Commencement: 201</w:t>
            </w:r>
            <w:r>
              <w:rPr>
                <w:rFonts w:ascii="Arial" w:hAnsi="Arial" w:cs="Arial"/>
                <w:color w:val="FFFFFF" w:themeColor="background1"/>
              </w:rPr>
              <w:t>8</w:t>
            </w:r>
          </w:p>
          <w:p w14:paraId="6E35E1CB" w14:textId="31F6E658" w:rsidR="008A399B" w:rsidRPr="00B31AAA" w:rsidRDefault="008A399B" w:rsidP="008A399B">
            <w:pPr>
              <w:spacing w:before="120" w:after="120" w:line="240" w:lineRule="auto"/>
              <w:rPr>
                <w:rFonts w:ascii="Arial" w:hAnsi="Arial" w:cs="Arial"/>
                <w:color w:val="FFFFFF" w:themeColor="background1"/>
              </w:rPr>
            </w:pPr>
            <w:r w:rsidRPr="00B31AAA">
              <w:rPr>
                <w:rFonts w:ascii="Arial" w:hAnsi="Arial" w:cs="Arial"/>
                <w:color w:val="FFFFFF" w:themeColor="background1"/>
              </w:rPr>
              <w:t xml:space="preserve">Completion Year: </w:t>
            </w:r>
          </w:p>
        </w:tc>
        <w:tc>
          <w:tcPr>
            <w:tcW w:w="3657" w:type="dxa"/>
            <w:shd w:val="clear" w:color="auto" w:fill="31849B"/>
          </w:tcPr>
          <w:p w14:paraId="0A062BA1" w14:textId="77777777" w:rsidR="008A399B" w:rsidRDefault="008A399B" w:rsidP="008A399B">
            <w:pPr>
              <w:spacing w:before="120" w:after="120"/>
              <w:jc w:val="both"/>
              <w:rPr>
                <w:rFonts w:ascii="Arial" w:hAnsi="Arial" w:cs="Arial"/>
                <w:color w:val="FFFFFF"/>
              </w:rPr>
            </w:pPr>
            <w:r w:rsidRPr="0096135C">
              <w:rPr>
                <w:rFonts w:ascii="Arial" w:hAnsi="Arial" w:cs="Arial"/>
                <w:color w:val="FFFFFF"/>
              </w:rPr>
              <w:t xml:space="preserve">Total Budget: </w:t>
            </w:r>
          </w:p>
          <w:p w14:paraId="16419245" w14:textId="29C48519" w:rsidR="008A399B" w:rsidRPr="00B31AAA" w:rsidRDefault="008A399B" w:rsidP="008A399B">
            <w:pPr>
              <w:spacing w:before="120" w:after="120" w:line="240" w:lineRule="auto"/>
              <w:rPr>
                <w:rFonts w:ascii="Arial" w:hAnsi="Arial" w:cs="Arial"/>
                <w:color w:val="FFFFFF" w:themeColor="background1"/>
              </w:rPr>
            </w:pPr>
            <w:r w:rsidRPr="0096135C">
              <w:rPr>
                <w:rFonts w:ascii="Arial" w:hAnsi="Arial" w:cs="Arial"/>
                <w:color w:val="FFFFFF"/>
              </w:rPr>
              <w:t xml:space="preserve">ANLEC R&amp;D Contribution: </w:t>
            </w:r>
          </w:p>
        </w:tc>
      </w:tr>
    </w:tbl>
    <w:p w14:paraId="5A02708A" w14:textId="2D79A2DB" w:rsidR="00957904" w:rsidRDefault="009228B8" w:rsidP="008702D1">
      <w:pPr>
        <w:spacing w:after="60" w:line="280" w:lineRule="atLeast"/>
        <w:rPr>
          <w:rFonts w:ascii="Arial" w:hAnsi="Arial" w:cs="Arial"/>
          <w:b/>
          <w:i/>
          <w:color w:val="31849B" w:themeColor="accent5" w:themeShade="BF"/>
        </w:rPr>
      </w:pPr>
      <w:r w:rsidRPr="00300096">
        <w:rPr>
          <w:rFonts w:ascii="Arial" w:hAnsi="Arial" w:cs="Arial"/>
          <w:b/>
          <w:i/>
          <w:color w:val="31849B" w:themeColor="accent5" w:themeShade="BF"/>
        </w:rPr>
        <w:t>The Context</w:t>
      </w:r>
    </w:p>
    <w:p w14:paraId="5F44B797" w14:textId="77777777" w:rsidR="002E6AD2" w:rsidRDefault="002E6AD2" w:rsidP="002E6AD2">
      <w:pPr>
        <w:pStyle w:val="CTSCoBodytext"/>
        <w:jc w:val="both"/>
        <w:rPr>
          <w:color w:val="262626" w:themeColor="text1" w:themeTint="D9"/>
        </w:rPr>
      </w:pPr>
      <w:r w:rsidRPr="00790FB6">
        <w:t>This project is aimed at supporting CO</w:t>
      </w:r>
      <w:r w:rsidRPr="00790FB6">
        <w:rPr>
          <w:vertAlign w:val="subscript"/>
        </w:rPr>
        <w:t>2</w:t>
      </w:r>
      <w:r w:rsidRPr="00790FB6">
        <w:t xml:space="preserve"> storage projects in Australian sedimentary basin, with initial emphasis on CTSCo Surat CCS demonstration project. The Surat</w:t>
      </w:r>
      <w:r>
        <w:t xml:space="preserve"> CCS project proposes to source 180,000 tonnes of Greenhouse Gas Stream derived from a Huaneng PCC attached to the Millmerran Power Station in south eastern Queensland. The GHG Stream will be injected at 60,000 tonnes per annum for three years into the low salinity groundwater of the Precipice Sandstone. </w:t>
      </w:r>
      <w:r w:rsidRPr="00790FB6">
        <w:t>CTSCo will develop a Field Storage Plan for a demonstration site in EPQ10.</w:t>
      </w:r>
    </w:p>
    <w:p w14:paraId="2AA43161" w14:textId="0DD270CB" w:rsidR="000F46BD" w:rsidRPr="008702D1" w:rsidRDefault="008702D1" w:rsidP="00A858A5">
      <w:pPr>
        <w:pStyle w:val="CTSCoBodytext"/>
        <w:jc w:val="both"/>
      </w:pPr>
      <w:r w:rsidRPr="008702D1">
        <w:t>Current Queensland legislation requires the use of cement plugs for the abandonment of CCS wells.</w:t>
      </w:r>
      <w:r w:rsidR="006827BB">
        <w:t xml:space="preserve"> However, there is the p</w:t>
      </w:r>
      <w:r w:rsidR="006827BB" w:rsidRPr="00306A2B">
        <w:t xml:space="preserve">otential </w:t>
      </w:r>
      <w:r w:rsidR="006827BB">
        <w:t xml:space="preserve">for </w:t>
      </w:r>
      <w:r w:rsidR="006827BB" w:rsidRPr="00306A2B">
        <w:t xml:space="preserve">long term dissolution of </w:t>
      </w:r>
      <w:r w:rsidR="006827BB">
        <w:t xml:space="preserve">those </w:t>
      </w:r>
      <w:r w:rsidR="006827BB" w:rsidRPr="00306A2B">
        <w:t>cement plugs by CO</w:t>
      </w:r>
      <w:r w:rsidR="006827BB" w:rsidRPr="00306A2B">
        <w:rPr>
          <w:vertAlign w:val="subscript"/>
        </w:rPr>
        <w:t>2</w:t>
      </w:r>
      <w:r w:rsidR="006827BB" w:rsidRPr="00306A2B">
        <w:t xml:space="preserve"> leading to CO</w:t>
      </w:r>
      <w:r w:rsidR="006827BB" w:rsidRPr="00306A2B">
        <w:rPr>
          <w:vertAlign w:val="subscript"/>
        </w:rPr>
        <w:t>2</w:t>
      </w:r>
      <w:r w:rsidR="006827BB" w:rsidRPr="00306A2B">
        <w:t xml:space="preserve"> leakage in the long term.</w:t>
      </w:r>
      <w:r w:rsidR="006827BB">
        <w:t xml:space="preserve"> </w:t>
      </w:r>
      <w:r w:rsidR="00B334CD">
        <w:t>An alternative is the use of bentonite as a l</w:t>
      </w:r>
      <w:r w:rsidR="00B334CD" w:rsidRPr="00306A2B">
        <w:t xml:space="preserve">ower cost </w:t>
      </w:r>
      <w:r w:rsidR="00B334CD">
        <w:t xml:space="preserve">plug option with </w:t>
      </w:r>
      <w:r w:rsidR="00B334CD" w:rsidRPr="00306A2B">
        <w:t>high sealing-assurance</w:t>
      </w:r>
      <w:r w:rsidR="00B334CD">
        <w:t>.</w:t>
      </w:r>
      <w:r w:rsidR="008104A6">
        <w:t xml:space="preserve"> </w:t>
      </w:r>
      <w:r w:rsidR="00AA768F">
        <w:t xml:space="preserve">To </w:t>
      </w:r>
      <w:r w:rsidR="0021745E">
        <w:t>provide</w:t>
      </w:r>
      <w:r w:rsidR="00AA768F">
        <w:t xml:space="preserve"> assurance as well as </w:t>
      </w:r>
      <w:r w:rsidR="0021745E">
        <w:t xml:space="preserve">fulfilling </w:t>
      </w:r>
      <w:r w:rsidR="00AA768F">
        <w:t>regulatory requirements, it will be be important to evaluate the suitability of bentonite as an effective abandonement plugs for long-term resistance to acidic/CO</w:t>
      </w:r>
      <w:r w:rsidR="00AA768F" w:rsidRPr="00AA768F">
        <w:rPr>
          <w:vertAlign w:val="subscript"/>
        </w:rPr>
        <w:t>2</w:t>
      </w:r>
      <w:r w:rsidR="00AA768F">
        <w:t xml:space="preserve"> environment of CCS wells.</w:t>
      </w:r>
      <w:r w:rsidR="00FA3034">
        <w:t xml:space="preserve"> </w:t>
      </w:r>
    </w:p>
    <w:p w14:paraId="78072882" w14:textId="3D1BDAD2" w:rsidR="003F561B" w:rsidRDefault="001501C2" w:rsidP="00A858A5">
      <w:pPr>
        <w:spacing w:after="60" w:line="280" w:lineRule="atLeast"/>
        <w:jc w:val="both"/>
        <w:rPr>
          <w:rFonts w:ascii="Arial" w:hAnsi="Arial" w:cs="Arial"/>
          <w:b/>
          <w:i/>
          <w:color w:val="31849B" w:themeColor="accent5" w:themeShade="BF"/>
        </w:rPr>
      </w:pPr>
      <w:r>
        <w:rPr>
          <w:rFonts w:ascii="Arial" w:hAnsi="Arial" w:cs="Arial"/>
          <w:b/>
          <w:i/>
          <w:color w:val="31849B" w:themeColor="accent5" w:themeShade="BF"/>
        </w:rPr>
        <w:t>Unknow</w:t>
      </w:r>
      <w:r w:rsidR="00DD5943">
        <w:rPr>
          <w:rFonts w:ascii="Arial" w:hAnsi="Arial" w:cs="Arial"/>
          <w:b/>
          <w:i/>
          <w:color w:val="31849B" w:themeColor="accent5" w:themeShade="BF"/>
        </w:rPr>
        <w:t>n</w:t>
      </w:r>
      <w:r>
        <w:rPr>
          <w:rFonts w:ascii="Arial" w:hAnsi="Arial" w:cs="Arial"/>
          <w:b/>
          <w:i/>
          <w:color w:val="31849B" w:themeColor="accent5" w:themeShade="BF"/>
        </w:rPr>
        <w:t>s</w:t>
      </w:r>
    </w:p>
    <w:p w14:paraId="7B5E5B6E" w14:textId="4E2C1FF2" w:rsidR="0021745E" w:rsidRDefault="00FA3034" w:rsidP="00A858A5">
      <w:pPr>
        <w:pStyle w:val="CTSCoBodytext"/>
        <w:jc w:val="both"/>
      </w:pPr>
      <w:r>
        <w:t>Suitability of bentonite as an alternative abandonement plugs for CCS wells</w:t>
      </w:r>
      <w:r w:rsidR="00DF4A55">
        <w:t xml:space="preserve"> under pressure</w:t>
      </w:r>
      <w:r w:rsidR="004B347D">
        <w:t>,</w:t>
      </w:r>
      <w:r w:rsidR="00DF4A55">
        <w:t xml:space="preserve"> temperature </w:t>
      </w:r>
      <w:r w:rsidR="004B347D">
        <w:t xml:space="preserve">and salinity </w:t>
      </w:r>
      <w:r w:rsidR="00DF4A55">
        <w:t>condition</w:t>
      </w:r>
      <w:r w:rsidR="004B347D">
        <w:t xml:space="preserve"> </w:t>
      </w:r>
      <w:r w:rsidR="00DF4A55">
        <w:t>of the Precipice sandstone across the Surat Basin</w:t>
      </w:r>
    </w:p>
    <w:p w14:paraId="3FDC0CA6" w14:textId="2DB806A6" w:rsidR="00022C33" w:rsidRPr="00022C33" w:rsidRDefault="00022C33" w:rsidP="00A858A5">
      <w:pPr>
        <w:spacing w:after="60" w:line="280" w:lineRule="atLeast"/>
        <w:jc w:val="both"/>
        <w:rPr>
          <w:rFonts w:ascii="Arial" w:hAnsi="Arial" w:cs="Arial"/>
          <w:b/>
          <w:i/>
          <w:color w:val="31849B" w:themeColor="accent5" w:themeShade="BF"/>
        </w:rPr>
      </w:pPr>
      <w:r w:rsidRPr="00022C33">
        <w:rPr>
          <w:rFonts w:ascii="Arial" w:hAnsi="Arial" w:cs="Arial"/>
          <w:b/>
          <w:i/>
          <w:color w:val="31849B" w:themeColor="accent5" w:themeShade="BF"/>
        </w:rPr>
        <w:t>Research Objective</w:t>
      </w:r>
    </w:p>
    <w:p w14:paraId="7E6E89B9" w14:textId="77777777" w:rsidR="00FA3034" w:rsidRDefault="00DD5943" w:rsidP="00A858A5">
      <w:pPr>
        <w:pStyle w:val="CTSCoBodytext"/>
        <w:jc w:val="both"/>
      </w:pPr>
      <w:r>
        <w:t>The objective</w:t>
      </w:r>
      <w:r w:rsidR="00FA3034">
        <w:t>s are;</w:t>
      </w:r>
    </w:p>
    <w:p w14:paraId="4E625488" w14:textId="46919922" w:rsidR="00FA3034" w:rsidRDefault="00FA3034" w:rsidP="00FA3034">
      <w:pPr>
        <w:pStyle w:val="CTSCoBodytext"/>
        <w:numPr>
          <w:ilvl w:val="0"/>
          <w:numId w:val="39"/>
        </w:numPr>
        <w:jc w:val="both"/>
      </w:pPr>
      <w:r>
        <w:t>To e</w:t>
      </w:r>
      <w:r w:rsidRPr="00EE2A12">
        <w:t>valuat</w:t>
      </w:r>
      <w:r>
        <w:t>e</w:t>
      </w:r>
      <w:r w:rsidRPr="00EE2A12">
        <w:t xml:space="preserve"> </w:t>
      </w:r>
      <w:r>
        <w:t xml:space="preserve">the </w:t>
      </w:r>
      <w:r w:rsidRPr="00EE2A12">
        <w:t>work done to date on the use of bentonite abandonment plugs for</w:t>
      </w:r>
      <w:r>
        <w:t xml:space="preserve"> petroleum and CCS application</w:t>
      </w:r>
      <w:r w:rsidRPr="00EE2A12">
        <w:t>.</w:t>
      </w:r>
    </w:p>
    <w:p w14:paraId="77DE122B" w14:textId="47AD8BC5" w:rsidR="000F46BD" w:rsidRPr="008702D1" w:rsidRDefault="00FA3034" w:rsidP="00FA3034">
      <w:pPr>
        <w:pStyle w:val="CTSCoBodytext"/>
        <w:numPr>
          <w:ilvl w:val="0"/>
          <w:numId w:val="39"/>
        </w:numPr>
        <w:jc w:val="both"/>
      </w:pPr>
      <w:r>
        <w:t>To verify suitability and long-term integrity of bentonite plugs as CO</w:t>
      </w:r>
      <w:r w:rsidRPr="00FA3034">
        <w:rPr>
          <w:vertAlign w:val="subscript"/>
        </w:rPr>
        <w:t>2</w:t>
      </w:r>
      <w:r>
        <w:t xml:space="preserve"> resistant alternative to cement for well abandoment. </w:t>
      </w:r>
    </w:p>
    <w:p w14:paraId="1D6C01F8" w14:textId="4AE4984E" w:rsidR="00475568" w:rsidRDefault="001501C2" w:rsidP="00A858A5">
      <w:pPr>
        <w:spacing w:after="60" w:line="280" w:lineRule="atLeast"/>
        <w:jc w:val="both"/>
        <w:rPr>
          <w:rFonts w:ascii="Arial" w:hAnsi="Arial" w:cs="Arial"/>
          <w:b/>
          <w:i/>
          <w:color w:val="31849B" w:themeColor="accent5" w:themeShade="BF"/>
        </w:rPr>
      </w:pPr>
      <w:r>
        <w:rPr>
          <w:rFonts w:ascii="Arial" w:hAnsi="Arial" w:cs="Arial"/>
          <w:b/>
          <w:i/>
          <w:color w:val="31849B" w:themeColor="accent5" w:themeShade="BF"/>
        </w:rPr>
        <w:t>New Knowledge</w:t>
      </w:r>
    </w:p>
    <w:p w14:paraId="539454CB" w14:textId="77777777" w:rsidR="008702D1" w:rsidRDefault="008702D1" w:rsidP="00A858A5">
      <w:pPr>
        <w:pStyle w:val="CTSCoBulletLevel1"/>
        <w:spacing w:line="276" w:lineRule="auto"/>
        <w:jc w:val="both"/>
      </w:pPr>
      <w:r>
        <w:t>Laboratory-based assessment of the chemical suitability of bentonite to act as an effective abandonment plug</w:t>
      </w:r>
    </w:p>
    <w:p w14:paraId="7C85D772" w14:textId="77777777" w:rsidR="008702D1" w:rsidRDefault="008702D1" w:rsidP="00A858A5">
      <w:pPr>
        <w:pStyle w:val="CTSCoBulletLevel1"/>
        <w:spacing w:line="276" w:lineRule="auto"/>
        <w:jc w:val="both"/>
      </w:pPr>
      <w:r>
        <w:t xml:space="preserve">Pressure and temperature limitations on the application. </w:t>
      </w:r>
    </w:p>
    <w:p w14:paraId="35A7193D" w14:textId="77777777" w:rsidR="00475568" w:rsidRPr="008702D1" w:rsidRDefault="008702D1" w:rsidP="00A858A5">
      <w:pPr>
        <w:pStyle w:val="CTSCoBulletLevel1"/>
        <w:spacing w:line="276" w:lineRule="auto"/>
        <w:jc w:val="both"/>
        <w:rPr>
          <w:rFonts w:ascii="Calibri" w:hAnsi="Calibri" w:cstheme="majorHAnsi"/>
        </w:rPr>
      </w:pPr>
      <w:r>
        <w:t>Assessment of the requirement for novel hydration-delaying strategies for deep deployment of the method</w:t>
      </w:r>
    </w:p>
    <w:p w14:paraId="6680177E" w14:textId="41DAA2DC" w:rsidR="009228B8" w:rsidRPr="00300096" w:rsidRDefault="001501C2" w:rsidP="00A858A5">
      <w:pPr>
        <w:spacing w:after="60" w:line="280" w:lineRule="atLeast"/>
        <w:jc w:val="both"/>
        <w:rPr>
          <w:rFonts w:ascii="Arial" w:hAnsi="Arial" w:cs="Arial"/>
          <w:b/>
          <w:i/>
          <w:color w:val="31849B" w:themeColor="accent5" w:themeShade="BF"/>
        </w:rPr>
      </w:pPr>
      <w:r>
        <w:rPr>
          <w:rFonts w:ascii="Arial" w:hAnsi="Arial" w:cs="Arial"/>
          <w:b/>
          <w:i/>
          <w:color w:val="31849B" w:themeColor="accent5" w:themeShade="BF"/>
        </w:rPr>
        <w:t>Milestones</w:t>
      </w:r>
    </w:p>
    <w:p w14:paraId="5B1230E9" w14:textId="77777777" w:rsidR="008702D1" w:rsidRDefault="008702D1" w:rsidP="00A858A5">
      <w:pPr>
        <w:pStyle w:val="CTSCoBodytext"/>
        <w:spacing w:after="0" w:line="276" w:lineRule="auto"/>
        <w:jc w:val="both"/>
      </w:pPr>
      <w:r w:rsidRPr="008702D1">
        <w:t>The project-work plan will be developed is organised around three project milestone objectives:</w:t>
      </w:r>
      <w:bookmarkStart w:id="1" w:name="_Toc523140253"/>
    </w:p>
    <w:p w14:paraId="63EB4950" w14:textId="7D078192" w:rsidR="008702D1" w:rsidRPr="008702D1" w:rsidRDefault="008702D1" w:rsidP="00A858A5">
      <w:pPr>
        <w:pStyle w:val="CTSCoBodytext"/>
        <w:spacing w:after="0" w:line="276" w:lineRule="auto"/>
        <w:jc w:val="both"/>
      </w:pPr>
      <w:r w:rsidRPr="008702D1">
        <w:t>Milestone 1: Literature Review</w:t>
      </w:r>
      <w:bookmarkEnd w:id="1"/>
    </w:p>
    <w:p w14:paraId="546866C4" w14:textId="151A5879" w:rsidR="008702D1" w:rsidRPr="008702D1" w:rsidRDefault="008702D1" w:rsidP="00A858A5">
      <w:pPr>
        <w:pStyle w:val="CTSCoBulletLevel1"/>
        <w:spacing w:after="0" w:line="276" w:lineRule="auto"/>
        <w:jc w:val="both"/>
      </w:pPr>
      <w:r w:rsidRPr="008702D1">
        <w:t xml:space="preserve">Review of the </w:t>
      </w:r>
      <w:proofErr w:type="gramStart"/>
      <w:r w:rsidR="00FA3034">
        <w:t xml:space="preserve">current </w:t>
      </w:r>
      <w:r w:rsidR="00FA3034" w:rsidRPr="008702D1">
        <w:t>status</w:t>
      </w:r>
      <w:proofErr w:type="gramEnd"/>
      <w:r w:rsidRPr="008702D1">
        <w:t xml:space="preserve"> of bentonite as an abandonment plug for petroleum and carbon dioxide geosequestration.</w:t>
      </w:r>
    </w:p>
    <w:p w14:paraId="443B4BD6" w14:textId="77777777" w:rsidR="008702D1" w:rsidRPr="008702D1" w:rsidRDefault="008702D1" w:rsidP="00A858A5">
      <w:pPr>
        <w:pStyle w:val="CTSCoBulletLevel1"/>
        <w:spacing w:after="0" w:line="276" w:lineRule="auto"/>
        <w:jc w:val="both"/>
      </w:pPr>
      <w:r w:rsidRPr="008702D1">
        <w:t>Review of current abandonment requirements under the Qld Greenhouse Gas Act and the Qld Petroleum Act.</w:t>
      </w:r>
    </w:p>
    <w:p w14:paraId="31D93A64" w14:textId="77777777" w:rsidR="008702D1" w:rsidRPr="008702D1" w:rsidRDefault="008702D1" w:rsidP="00A858A5">
      <w:pPr>
        <w:pStyle w:val="CTSCoBulletLevel1"/>
        <w:spacing w:after="0" w:line="276" w:lineRule="auto"/>
        <w:jc w:val="both"/>
      </w:pPr>
      <w:r w:rsidRPr="008702D1">
        <w:t>Preliminary assessment of the presently known constraints to the deployment of bentonite in the deepest part of the Surat Basin</w:t>
      </w:r>
    </w:p>
    <w:p w14:paraId="75A1EC83" w14:textId="77777777" w:rsidR="008702D1" w:rsidRPr="008702D1" w:rsidRDefault="008702D1" w:rsidP="00A858A5">
      <w:pPr>
        <w:pStyle w:val="CTSCoBulletLevel1"/>
        <w:spacing w:after="0" w:line="276" w:lineRule="auto"/>
        <w:jc w:val="both"/>
      </w:pPr>
      <w:r w:rsidRPr="008702D1">
        <w:t>Recommendations for laboratory-scale testing of bentonite at the range of pressure, temperature etc. the Surat Basin (with input from CTSCo).</w:t>
      </w:r>
    </w:p>
    <w:p w14:paraId="5FFB43CA" w14:textId="77777777" w:rsidR="008702D1" w:rsidRPr="008702D1" w:rsidRDefault="008702D1" w:rsidP="00A858A5">
      <w:pPr>
        <w:pStyle w:val="Heading3"/>
        <w:numPr>
          <w:ilvl w:val="2"/>
          <w:numId w:val="0"/>
        </w:numPr>
        <w:spacing w:before="240"/>
        <w:ind w:left="680" w:hanging="680"/>
        <w:jc w:val="both"/>
        <w:rPr>
          <w:rFonts w:ascii="Arial" w:hAnsi="Arial" w:cs="Arial"/>
          <w:color w:val="auto"/>
          <w:sz w:val="20"/>
        </w:rPr>
      </w:pPr>
      <w:bookmarkStart w:id="2" w:name="_Toc523140254"/>
      <w:r w:rsidRPr="008702D1">
        <w:rPr>
          <w:rFonts w:ascii="Arial" w:hAnsi="Arial" w:cs="Arial"/>
          <w:color w:val="auto"/>
          <w:sz w:val="20"/>
        </w:rPr>
        <w:t>Milestone 2: Conduct Laboratory Experiments</w:t>
      </w:r>
      <w:bookmarkEnd w:id="2"/>
    </w:p>
    <w:p w14:paraId="4564934B" w14:textId="77777777" w:rsidR="008702D1" w:rsidRPr="008702D1" w:rsidRDefault="008702D1" w:rsidP="00A858A5">
      <w:pPr>
        <w:pStyle w:val="CTSCoBulletLevel1"/>
        <w:spacing w:after="0" w:line="276" w:lineRule="auto"/>
        <w:jc w:val="both"/>
      </w:pPr>
      <w:r w:rsidRPr="008702D1">
        <w:t>Conduct laboratory experiments to verify suitability and long-term integrity of bentonite plugs as a CO</w:t>
      </w:r>
      <w:r w:rsidRPr="008702D1">
        <w:rPr>
          <w:vertAlign w:val="subscript"/>
        </w:rPr>
        <w:t>2</w:t>
      </w:r>
      <w:r w:rsidRPr="008702D1">
        <w:t xml:space="preserve"> resistant alternative to cement for well abandonment.</w:t>
      </w:r>
    </w:p>
    <w:p w14:paraId="3E738833" w14:textId="77777777" w:rsidR="008702D1" w:rsidRPr="008702D1" w:rsidRDefault="008702D1" w:rsidP="00A858A5">
      <w:pPr>
        <w:pStyle w:val="Heading3"/>
        <w:numPr>
          <w:ilvl w:val="2"/>
          <w:numId w:val="0"/>
        </w:numPr>
        <w:spacing w:before="240"/>
        <w:ind w:left="680" w:hanging="680"/>
        <w:jc w:val="both"/>
        <w:rPr>
          <w:rFonts w:ascii="Arial" w:hAnsi="Arial" w:cs="Arial"/>
          <w:color w:val="auto"/>
          <w:sz w:val="20"/>
        </w:rPr>
      </w:pPr>
      <w:bookmarkStart w:id="3" w:name="_Toc523140255"/>
      <w:r w:rsidRPr="008702D1">
        <w:rPr>
          <w:rFonts w:ascii="Arial" w:hAnsi="Arial" w:cs="Arial"/>
          <w:color w:val="auto"/>
          <w:sz w:val="20"/>
        </w:rPr>
        <w:t>Milestone 3: Final Report</w:t>
      </w:r>
      <w:bookmarkEnd w:id="3"/>
    </w:p>
    <w:p w14:paraId="713CF234" w14:textId="77777777" w:rsidR="00022C33" w:rsidRDefault="00022C33" w:rsidP="00A858A5">
      <w:pPr>
        <w:autoSpaceDE w:val="0"/>
        <w:autoSpaceDN w:val="0"/>
        <w:adjustRightInd w:val="0"/>
        <w:spacing w:before="0" w:after="0" w:line="280" w:lineRule="atLeast"/>
        <w:jc w:val="both"/>
        <w:rPr>
          <w:rFonts w:eastAsiaTheme="minorHAnsi" w:cs="Calibri"/>
          <w:color w:val="262626" w:themeColor="text1" w:themeTint="D9"/>
          <w:sz w:val="22"/>
          <w:szCs w:val="22"/>
          <w:lang w:bidi="ar-SA"/>
        </w:rPr>
      </w:pPr>
    </w:p>
    <w:p w14:paraId="4A24A163" w14:textId="77777777" w:rsidR="00022C33" w:rsidRPr="0033420D" w:rsidRDefault="00022C33" w:rsidP="008702D1">
      <w:pPr>
        <w:autoSpaceDE w:val="0"/>
        <w:autoSpaceDN w:val="0"/>
        <w:adjustRightInd w:val="0"/>
        <w:spacing w:before="0" w:after="0" w:line="280" w:lineRule="atLeast"/>
        <w:rPr>
          <w:rFonts w:eastAsiaTheme="minorHAnsi" w:cs="Calibri"/>
          <w:color w:val="262626" w:themeColor="text1" w:themeTint="D9"/>
          <w:sz w:val="22"/>
          <w:szCs w:val="22"/>
          <w:lang w:bidi="ar-SA"/>
        </w:rPr>
      </w:pPr>
    </w:p>
    <w:sectPr w:rsidR="00022C33" w:rsidRPr="0033420D" w:rsidSect="001E7A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tilla">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4452"/>
    <w:multiLevelType w:val="hybridMultilevel"/>
    <w:tmpl w:val="66867C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D3772E"/>
    <w:multiLevelType w:val="hybridMultilevel"/>
    <w:tmpl w:val="F4FC0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227D56"/>
    <w:multiLevelType w:val="hybridMultilevel"/>
    <w:tmpl w:val="62EC62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825EB1"/>
    <w:multiLevelType w:val="hybridMultilevel"/>
    <w:tmpl w:val="EECA5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507311"/>
    <w:multiLevelType w:val="hybridMultilevel"/>
    <w:tmpl w:val="5E545066"/>
    <w:lvl w:ilvl="0" w:tplc="0C090001">
      <w:start w:val="1"/>
      <w:numFmt w:val="bullet"/>
      <w:lvlText w:val=""/>
      <w:lvlJc w:val="left"/>
      <w:pPr>
        <w:ind w:left="720" w:hanging="360"/>
      </w:pPr>
      <w:rPr>
        <w:rFonts w:ascii="Symbol" w:hAnsi="Symbol" w:hint="default"/>
      </w:rPr>
    </w:lvl>
    <w:lvl w:ilvl="1" w:tplc="422282E2">
      <w:numFmt w:val="bullet"/>
      <w:lvlText w:val="–"/>
      <w:lvlJc w:val="left"/>
      <w:pPr>
        <w:ind w:left="1440" w:hanging="360"/>
      </w:pPr>
      <w:rPr>
        <w:rFonts w:ascii="Calibri" w:eastAsiaTheme="minorHAnsi" w:hAnsi="Calibri" w:cstheme="minorBid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8466AD"/>
    <w:multiLevelType w:val="multilevel"/>
    <w:tmpl w:val="82461F3E"/>
    <w:lvl w:ilvl="0">
      <w:start w:val="1"/>
      <w:numFmt w:val="decimal"/>
      <w:lvlText w:val="%1."/>
      <w:lvlJc w:val="left"/>
      <w:pPr>
        <w:ind w:left="360" w:hanging="360"/>
      </w:pPr>
    </w:lvl>
    <w:lvl w:ilvl="1">
      <w:start w:val="1"/>
      <w:numFmt w:val="decimal"/>
      <w:lvlText w:val="%1.%2."/>
      <w:lvlJc w:val="left"/>
      <w:pPr>
        <w:ind w:left="792" w:hanging="432"/>
      </w:pPr>
      <w:rPr>
        <w:color w:val="31849B" w:themeColor="accent5"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B0649D"/>
    <w:multiLevelType w:val="hybridMultilevel"/>
    <w:tmpl w:val="70504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75586A"/>
    <w:multiLevelType w:val="hybridMultilevel"/>
    <w:tmpl w:val="28583D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F21ED3"/>
    <w:multiLevelType w:val="hybridMultilevel"/>
    <w:tmpl w:val="8576900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1C8E1B12"/>
    <w:multiLevelType w:val="hybridMultilevel"/>
    <w:tmpl w:val="54689F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D237BAC"/>
    <w:multiLevelType w:val="hybridMultilevel"/>
    <w:tmpl w:val="E82C90FE"/>
    <w:lvl w:ilvl="0" w:tplc="0A42D682">
      <w:start w:val="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EC5F06"/>
    <w:multiLevelType w:val="hybridMultilevel"/>
    <w:tmpl w:val="5A1425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391721"/>
    <w:multiLevelType w:val="multilevel"/>
    <w:tmpl w:val="D0BEA2A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11555B"/>
    <w:multiLevelType w:val="hybridMultilevel"/>
    <w:tmpl w:val="B42232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5E2B0C"/>
    <w:multiLevelType w:val="hybridMultilevel"/>
    <w:tmpl w:val="53043A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1938E7"/>
    <w:multiLevelType w:val="hybridMultilevel"/>
    <w:tmpl w:val="6512C0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6896D92"/>
    <w:multiLevelType w:val="hybridMultilevel"/>
    <w:tmpl w:val="DDD0053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pStyle w:val="ScheduleL4"/>
      <w:lvlText w:val="%4."/>
      <w:lvlJc w:val="left"/>
      <w:pPr>
        <w:ind w:left="2520" w:hanging="360"/>
      </w:pPr>
    </w:lvl>
    <w:lvl w:ilvl="4" w:tplc="0C090019">
      <w:start w:val="1"/>
      <w:numFmt w:val="lowerLetter"/>
      <w:pStyle w:val="ScheduleL5"/>
      <w:lvlText w:val="%5."/>
      <w:lvlJc w:val="left"/>
      <w:pPr>
        <w:ind w:left="3240" w:hanging="360"/>
      </w:pPr>
    </w:lvl>
    <w:lvl w:ilvl="5" w:tplc="0C09001B">
      <w:start w:val="1"/>
      <w:numFmt w:val="lowerRoman"/>
      <w:pStyle w:val="ScheduleL6"/>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7" w15:restartNumberingAfterBreak="0">
    <w:nsid w:val="3BEE4D8E"/>
    <w:multiLevelType w:val="hybridMultilevel"/>
    <w:tmpl w:val="133063AE"/>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3D1806CB"/>
    <w:multiLevelType w:val="hybridMultilevel"/>
    <w:tmpl w:val="A2B21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1E32CB"/>
    <w:multiLevelType w:val="hybridMultilevel"/>
    <w:tmpl w:val="98C06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FE2C74"/>
    <w:multiLevelType w:val="hybridMultilevel"/>
    <w:tmpl w:val="441898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7F11D8"/>
    <w:multiLevelType w:val="hybridMultilevel"/>
    <w:tmpl w:val="656EA9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F4B3B12"/>
    <w:multiLevelType w:val="hybridMultilevel"/>
    <w:tmpl w:val="DB0CF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DA307E"/>
    <w:multiLevelType w:val="hybridMultilevel"/>
    <w:tmpl w:val="10D88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5F5C9C"/>
    <w:multiLevelType w:val="hybridMultilevel"/>
    <w:tmpl w:val="9BB014B0"/>
    <w:lvl w:ilvl="0" w:tplc="EBF484D2">
      <w:start w:val="1"/>
      <w:numFmt w:val="bullet"/>
      <w:pStyle w:val="CTSCoBulletLevel1"/>
      <w:lvlText w:val=""/>
      <w:lvlJc w:val="left"/>
      <w:pPr>
        <w:ind w:left="1400" w:hanging="360"/>
      </w:pPr>
      <w:rPr>
        <w:rFonts w:ascii="Symbol" w:hAnsi="Symbol" w:hint="default"/>
      </w:rPr>
    </w:lvl>
    <w:lvl w:ilvl="1" w:tplc="0C090003">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25" w15:restartNumberingAfterBreak="0">
    <w:nsid w:val="5D072175"/>
    <w:multiLevelType w:val="hybridMultilevel"/>
    <w:tmpl w:val="83CCACDC"/>
    <w:lvl w:ilvl="0" w:tplc="0C09000F">
      <w:start w:val="1"/>
      <w:numFmt w:val="decimal"/>
      <w:lvlText w:val="%1."/>
      <w:lvlJc w:val="left"/>
      <w:pPr>
        <w:ind w:left="771" w:hanging="360"/>
      </w:pPr>
    </w:lvl>
    <w:lvl w:ilvl="1" w:tplc="0C090019">
      <w:start w:val="1"/>
      <w:numFmt w:val="lowerLetter"/>
      <w:lvlText w:val="%2."/>
      <w:lvlJc w:val="left"/>
      <w:pPr>
        <w:ind w:left="1491" w:hanging="360"/>
      </w:pPr>
    </w:lvl>
    <w:lvl w:ilvl="2" w:tplc="0C09001B">
      <w:start w:val="1"/>
      <w:numFmt w:val="lowerRoman"/>
      <w:lvlText w:val="%3."/>
      <w:lvlJc w:val="right"/>
      <w:pPr>
        <w:ind w:left="2211" w:hanging="180"/>
      </w:pPr>
    </w:lvl>
    <w:lvl w:ilvl="3" w:tplc="0C09000F">
      <w:start w:val="1"/>
      <w:numFmt w:val="decimal"/>
      <w:lvlText w:val="%4."/>
      <w:lvlJc w:val="left"/>
      <w:pPr>
        <w:ind w:left="2931" w:hanging="360"/>
      </w:pPr>
    </w:lvl>
    <w:lvl w:ilvl="4" w:tplc="0C090019">
      <w:start w:val="1"/>
      <w:numFmt w:val="lowerLetter"/>
      <w:lvlText w:val="%5."/>
      <w:lvlJc w:val="left"/>
      <w:pPr>
        <w:ind w:left="3651" w:hanging="360"/>
      </w:pPr>
    </w:lvl>
    <w:lvl w:ilvl="5" w:tplc="0C09001B">
      <w:start w:val="1"/>
      <w:numFmt w:val="lowerRoman"/>
      <w:lvlText w:val="%6."/>
      <w:lvlJc w:val="right"/>
      <w:pPr>
        <w:ind w:left="4371" w:hanging="180"/>
      </w:pPr>
    </w:lvl>
    <w:lvl w:ilvl="6" w:tplc="0C09000F">
      <w:start w:val="1"/>
      <w:numFmt w:val="decimal"/>
      <w:lvlText w:val="%7."/>
      <w:lvlJc w:val="left"/>
      <w:pPr>
        <w:ind w:left="5091" w:hanging="360"/>
      </w:pPr>
    </w:lvl>
    <w:lvl w:ilvl="7" w:tplc="0C090019">
      <w:start w:val="1"/>
      <w:numFmt w:val="lowerLetter"/>
      <w:lvlText w:val="%8."/>
      <w:lvlJc w:val="left"/>
      <w:pPr>
        <w:ind w:left="5811" w:hanging="360"/>
      </w:pPr>
    </w:lvl>
    <w:lvl w:ilvl="8" w:tplc="0C09001B">
      <w:start w:val="1"/>
      <w:numFmt w:val="lowerRoman"/>
      <w:lvlText w:val="%9."/>
      <w:lvlJc w:val="right"/>
      <w:pPr>
        <w:ind w:left="6531" w:hanging="180"/>
      </w:pPr>
    </w:lvl>
  </w:abstractNum>
  <w:abstractNum w:abstractNumId="26" w15:restartNumberingAfterBreak="0">
    <w:nsid w:val="5DF84FBD"/>
    <w:multiLevelType w:val="hybridMultilevel"/>
    <w:tmpl w:val="0E3EAE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EB1643A"/>
    <w:multiLevelType w:val="hybridMultilevel"/>
    <w:tmpl w:val="97400FC6"/>
    <w:lvl w:ilvl="0" w:tplc="0C090001">
      <w:start w:val="1"/>
      <w:numFmt w:val="bullet"/>
      <w:lvlText w:val=""/>
      <w:lvlJc w:val="left"/>
      <w:pPr>
        <w:ind w:left="807" w:hanging="360"/>
      </w:pPr>
      <w:rPr>
        <w:rFonts w:ascii="Symbol" w:hAnsi="Symbol" w:hint="default"/>
      </w:rPr>
    </w:lvl>
    <w:lvl w:ilvl="1" w:tplc="0C090003" w:tentative="1">
      <w:start w:val="1"/>
      <w:numFmt w:val="bullet"/>
      <w:lvlText w:val="o"/>
      <w:lvlJc w:val="left"/>
      <w:pPr>
        <w:ind w:left="1527" w:hanging="360"/>
      </w:pPr>
      <w:rPr>
        <w:rFonts w:ascii="Courier New" w:hAnsi="Courier New" w:cs="Courier New" w:hint="default"/>
      </w:rPr>
    </w:lvl>
    <w:lvl w:ilvl="2" w:tplc="0C090005" w:tentative="1">
      <w:start w:val="1"/>
      <w:numFmt w:val="bullet"/>
      <w:lvlText w:val=""/>
      <w:lvlJc w:val="left"/>
      <w:pPr>
        <w:ind w:left="2247" w:hanging="360"/>
      </w:pPr>
      <w:rPr>
        <w:rFonts w:ascii="Wingdings" w:hAnsi="Wingdings" w:hint="default"/>
      </w:rPr>
    </w:lvl>
    <w:lvl w:ilvl="3" w:tplc="0C090001" w:tentative="1">
      <w:start w:val="1"/>
      <w:numFmt w:val="bullet"/>
      <w:lvlText w:val=""/>
      <w:lvlJc w:val="left"/>
      <w:pPr>
        <w:ind w:left="2967" w:hanging="360"/>
      </w:pPr>
      <w:rPr>
        <w:rFonts w:ascii="Symbol" w:hAnsi="Symbol" w:hint="default"/>
      </w:rPr>
    </w:lvl>
    <w:lvl w:ilvl="4" w:tplc="0C090003" w:tentative="1">
      <w:start w:val="1"/>
      <w:numFmt w:val="bullet"/>
      <w:lvlText w:val="o"/>
      <w:lvlJc w:val="left"/>
      <w:pPr>
        <w:ind w:left="3687" w:hanging="360"/>
      </w:pPr>
      <w:rPr>
        <w:rFonts w:ascii="Courier New" w:hAnsi="Courier New" w:cs="Courier New" w:hint="default"/>
      </w:rPr>
    </w:lvl>
    <w:lvl w:ilvl="5" w:tplc="0C090005" w:tentative="1">
      <w:start w:val="1"/>
      <w:numFmt w:val="bullet"/>
      <w:lvlText w:val=""/>
      <w:lvlJc w:val="left"/>
      <w:pPr>
        <w:ind w:left="4407" w:hanging="360"/>
      </w:pPr>
      <w:rPr>
        <w:rFonts w:ascii="Wingdings" w:hAnsi="Wingdings" w:hint="default"/>
      </w:rPr>
    </w:lvl>
    <w:lvl w:ilvl="6" w:tplc="0C090001" w:tentative="1">
      <w:start w:val="1"/>
      <w:numFmt w:val="bullet"/>
      <w:lvlText w:val=""/>
      <w:lvlJc w:val="left"/>
      <w:pPr>
        <w:ind w:left="5127" w:hanging="360"/>
      </w:pPr>
      <w:rPr>
        <w:rFonts w:ascii="Symbol" w:hAnsi="Symbol" w:hint="default"/>
      </w:rPr>
    </w:lvl>
    <w:lvl w:ilvl="7" w:tplc="0C090003" w:tentative="1">
      <w:start w:val="1"/>
      <w:numFmt w:val="bullet"/>
      <w:lvlText w:val="o"/>
      <w:lvlJc w:val="left"/>
      <w:pPr>
        <w:ind w:left="5847" w:hanging="360"/>
      </w:pPr>
      <w:rPr>
        <w:rFonts w:ascii="Courier New" w:hAnsi="Courier New" w:cs="Courier New" w:hint="default"/>
      </w:rPr>
    </w:lvl>
    <w:lvl w:ilvl="8" w:tplc="0C090005" w:tentative="1">
      <w:start w:val="1"/>
      <w:numFmt w:val="bullet"/>
      <w:lvlText w:val=""/>
      <w:lvlJc w:val="left"/>
      <w:pPr>
        <w:ind w:left="6567" w:hanging="360"/>
      </w:pPr>
      <w:rPr>
        <w:rFonts w:ascii="Wingdings" w:hAnsi="Wingdings" w:hint="default"/>
      </w:rPr>
    </w:lvl>
  </w:abstractNum>
  <w:abstractNum w:abstractNumId="28" w15:restartNumberingAfterBreak="0">
    <w:nsid w:val="65EB30A0"/>
    <w:multiLevelType w:val="hybridMultilevel"/>
    <w:tmpl w:val="6A500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97758A"/>
    <w:multiLevelType w:val="hybridMultilevel"/>
    <w:tmpl w:val="0EDC7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C841ED"/>
    <w:multiLevelType w:val="hybridMultilevel"/>
    <w:tmpl w:val="A3347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986785"/>
    <w:multiLevelType w:val="hybridMultilevel"/>
    <w:tmpl w:val="6C265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0CC0D43"/>
    <w:multiLevelType w:val="hybridMultilevel"/>
    <w:tmpl w:val="DEE21F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1A51983"/>
    <w:multiLevelType w:val="hybridMultilevel"/>
    <w:tmpl w:val="B8F662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1F06214"/>
    <w:multiLevelType w:val="multilevel"/>
    <w:tmpl w:val="82461F3E"/>
    <w:lvl w:ilvl="0">
      <w:start w:val="1"/>
      <w:numFmt w:val="decimal"/>
      <w:lvlText w:val="%1."/>
      <w:lvlJc w:val="left"/>
      <w:pPr>
        <w:ind w:left="360" w:hanging="360"/>
      </w:pPr>
    </w:lvl>
    <w:lvl w:ilvl="1">
      <w:start w:val="1"/>
      <w:numFmt w:val="decimal"/>
      <w:lvlText w:val="%1.%2."/>
      <w:lvlJc w:val="left"/>
      <w:pPr>
        <w:ind w:left="792" w:hanging="432"/>
      </w:pPr>
      <w:rPr>
        <w:color w:val="31849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21562F4"/>
    <w:multiLevelType w:val="hybridMultilevel"/>
    <w:tmpl w:val="DCF65C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7"/>
  </w:num>
  <w:num w:numId="2">
    <w:abstractNumId w:val="13"/>
  </w:num>
  <w:num w:numId="3">
    <w:abstractNumId w:val="9"/>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19"/>
  </w:num>
  <w:num w:numId="9">
    <w:abstractNumId w:val="20"/>
  </w:num>
  <w:num w:numId="10">
    <w:abstractNumId w:val="18"/>
  </w:num>
  <w:num w:numId="11">
    <w:abstractNumId w:val="30"/>
  </w:num>
  <w:num w:numId="12">
    <w:abstractNumId w:val="34"/>
  </w:num>
  <w:num w:numId="13">
    <w:abstractNumId w:val="29"/>
  </w:num>
  <w:num w:numId="14">
    <w:abstractNumId w:val="1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1"/>
  </w:num>
  <w:num w:numId="20">
    <w:abstractNumId w:val="17"/>
  </w:num>
  <w:num w:numId="21">
    <w:abstractNumId w:val="2"/>
  </w:num>
  <w:num w:numId="22">
    <w:abstractNumId w:val="23"/>
  </w:num>
  <w:num w:numId="23">
    <w:abstractNumId w:val="14"/>
  </w:num>
  <w:num w:numId="24">
    <w:abstractNumId w:val="8"/>
  </w:num>
  <w:num w:numId="25">
    <w:abstractNumId w:val="0"/>
  </w:num>
  <w:num w:numId="26">
    <w:abstractNumId w:val="4"/>
  </w:num>
  <w:num w:numId="27">
    <w:abstractNumId w:val="31"/>
  </w:num>
  <w:num w:numId="28">
    <w:abstractNumId w:val="7"/>
  </w:num>
  <w:num w:numId="29">
    <w:abstractNumId w:val="32"/>
  </w:num>
  <w:num w:numId="30">
    <w:abstractNumId w:val="28"/>
  </w:num>
  <w:num w:numId="31">
    <w:abstractNumId w:val="1"/>
  </w:num>
  <w:num w:numId="32">
    <w:abstractNumId w:val="11"/>
  </w:num>
  <w:num w:numId="33">
    <w:abstractNumId w:val="26"/>
  </w:num>
  <w:num w:numId="34">
    <w:abstractNumId w:val="10"/>
  </w:num>
  <w:num w:numId="35">
    <w:abstractNumId w:val="22"/>
  </w:num>
  <w:num w:numId="36">
    <w:abstractNumId w:val="12"/>
  </w:num>
  <w:num w:numId="37">
    <w:abstractNumId w:val="10"/>
  </w:num>
  <w:num w:numId="38">
    <w:abstractNumId w:val="24"/>
  </w:num>
  <w:num w:numId="39">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A1sDAyMDcyNjc0MzJW0lEKTi0uzszPAykwqQUAyGpRySwAAAA="/>
  </w:docVars>
  <w:rsids>
    <w:rsidRoot w:val="00F119E4"/>
    <w:rsid w:val="00003F0C"/>
    <w:rsid w:val="00005610"/>
    <w:rsid w:val="0000575A"/>
    <w:rsid w:val="00005CC9"/>
    <w:rsid w:val="00006C0D"/>
    <w:rsid w:val="00010CF5"/>
    <w:rsid w:val="000142C9"/>
    <w:rsid w:val="000146DF"/>
    <w:rsid w:val="00014D6C"/>
    <w:rsid w:val="000204F3"/>
    <w:rsid w:val="000224FD"/>
    <w:rsid w:val="00022C33"/>
    <w:rsid w:val="000230CA"/>
    <w:rsid w:val="00025799"/>
    <w:rsid w:val="000260B6"/>
    <w:rsid w:val="00026BAC"/>
    <w:rsid w:val="0002772E"/>
    <w:rsid w:val="00030469"/>
    <w:rsid w:val="00036AFF"/>
    <w:rsid w:val="000410B5"/>
    <w:rsid w:val="00044091"/>
    <w:rsid w:val="00044474"/>
    <w:rsid w:val="000472B8"/>
    <w:rsid w:val="00052998"/>
    <w:rsid w:val="00052E63"/>
    <w:rsid w:val="0005326D"/>
    <w:rsid w:val="000569BE"/>
    <w:rsid w:val="000572C1"/>
    <w:rsid w:val="00057D4A"/>
    <w:rsid w:val="00063F0D"/>
    <w:rsid w:val="00064933"/>
    <w:rsid w:val="00065B65"/>
    <w:rsid w:val="0007189B"/>
    <w:rsid w:val="00073315"/>
    <w:rsid w:val="00076A70"/>
    <w:rsid w:val="000818E5"/>
    <w:rsid w:val="00081CF3"/>
    <w:rsid w:val="000848E7"/>
    <w:rsid w:val="000863D5"/>
    <w:rsid w:val="00086E24"/>
    <w:rsid w:val="00087532"/>
    <w:rsid w:val="00090D91"/>
    <w:rsid w:val="000929B4"/>
    <w:rsid w:val="00095CD8"/>
    <w:rsid w:val="000A060B"/>
    <w:rsid w:val="000A4866"/>
    <w:rsid w:val="000A5B34"/>
    <w:rsid w:val="000A75C7"/>
    <w:rsid w:val="000A78A1"/>
    <w:rsid w:val="000B1E25"/>
    <w:rsid w:val="000B275E"/>
    <w:rsid w:val="000B28AA"/>
    <w:rsid w:val="000B51C4"/>
    <w:rsid w:val="000B6687"/>
    <w:rsid w:val="000B6E8F"/>
    <w:rsid w:val="000C4520"/>
    <w:rsid w:val="000C6407"/>
    <w:rsid w:val="000C682B"/>
    <w:rsid w:val="000C6C27"/>
    <w:rsid w:val="000C6D43"/>
    <w:rsid w:val="000D0CEC"/>
    <w:rsid w:val="000D6C9A"/>
    <w:rsid w:val="000D6E80"/>
    <w:rsid w:val="000D73FC"/>
    <w:rsid w:val="000E098D"/>
    <w:rsid w:val="000E16B4"/>
    <w:rsid w:val="000E2E3C"/>
    <w:rsid w:val="000E4006"/>
    <w:rsid w:val="000E691A"/>
    <w:rsid w:val="000F13C7"/>
    <w:rsid w:val="000F13E8"/>
    <w:rsid w:val="000F3991"/>
    <w:rsid w:val="000F4465"/>
    <w:rsid w:val="000F46BD"/>
    <w:rsid w:val="000F62F7"/>
    <w:rsid w:val="000F7ADA"/>
    <w:rsid w:val="00101B69"/>
    <w:rsid w:val="00103D54"/>
    <w:rsid w:val="001079E5"/>
    <w:rsid w:val="00110AE2"/>
    <w:rsid w:val="00111DFC"/>
    <w:rsid w:val="0011517C"/>
    <w:rsid w:val="00115C53"/>
    <w:rsid w:val="00115C8C"/>
    <w:rsid w:val="001170DC"/>
    <w:rsid w:val="00120866"/>
    <w:rsid w:val="00120D5D"/>
    <w:rsid w:val="00123FF0"/>
    <w:rsid w:val="00125D7F"/>
    <w:rsid w:val="00127944"/>
    <w:rsid w:val="00130232"/>
    <w:rsid w:val="001323C6"/>
    <w:rsid w:val="00132A62"/>
    <w:rsid w:val="00134761"/>
    <w:rsid w:val="00141803"/>
    <w:rsid w:val="00141CA2"/>
    <w:rsid w:val="00141E98"/>
    <w:rsid w:val="001424A3"/>
    <w:rsid w:val="00142559"/>
    <w:rsid w:val="001427DD"/>
    <w:rsid w:val="001436BA"/>
    <w:rsid w:val="00145930"/>
    <w:rsid w:val="001473FC"/>
    <w:rsid w:val="001479C6"/>
    <w:rsid w:val="001501C2"/>
    <w:rsid w:val="00150DFB"/>
    <w:rsid w:val="00152B06"/>
    <w:rsid w:val="00153110"/>
    <w:rsid w:val="00153773"/>
    <w:rsid w:val="00154729"/>
    <w:rsid w:val="00161B74"/>
    <w:rsid w:val="0016206D"/>
    <w:rsid w:val="00170CCA"/>
    <w:rsid w:val="001744F9"/>
    <w:rsid w:val="00174BE1"/>
    <w:rsid w:val="00175B89"/>
    <w:rsid w:val="00180211"/>
    <w:rsid w:val="00186E52"/>
    <w:rsid w:val="0019643C"/>
    <w:rsid w:val="001A1DA6"/>
    <w:rsid w:val="001A2099"/>
    <w:rsid w:val="001A2BFC"/>
    <w:rsid w:val="001A5103"/>
    <w:rsid w:val="001A52FF"/>
    <w:rsid w:val="001A6CAE"/>
    <w:rsid w:val="001B0E95"/>
    <w:rsid w:val="001B19C1"/>
    <w:rsid w:val="001B2F61"/>
    <w:rsid w:val="001B350C"/>
    <w:rsid w:val="001B4B7A"/>
    <w:rsid w:val="001C0FAE"/>
    <w:rsid w:val="001C1BD0"/>
    <w:rsid w:val="001C2C72"/>
    <w:rsid w:val="001C7839"/>
    <w:rsid w:val="001D2676"/>
    <w:rsid w:val="001D35D9"/>
    <w:rsid w:val="001D4BCE"/>
    <w:rsid w:val="001D5941"/>
    <w:rsid w:val="001D5CEE"/>
    <w:rsid w:val="001D6B35"/>
    <w:rsid w:val="001E064D"/>
    <w:rsid w:val="001E0CE6"/>
    <w:rsid w:val="001E0DA9"/>
    <w:rsid w:val="001E1075"/>
    <w:rsid w:val="001E31E2"/>
    <w:rsid w:val="001E3443"/>
    <w:rsid w:val="001E501D"/>
    <w:rsid w:val="001E629B"/>
    <w:rsid w:val="001E7A17"/>
    <w:rsid w:val="001F14A7"/>
    <w:rsid w:val="001F25D7"/>
    <w:rsid w:val="001F3BA7"/>
    <w:rsid w:val="001F3D1B"/>
    <w:rsid w:val="001F51C2"/>
    <w:rsid w:val="001F5509"/>
    <w:rsid w:val="001F6726"/>
    <w:rsid w:val="00201356"/>
    <w:rsid w:val="002029C0"/>
    <w:rsid w:val="00202D3E"/>
    <w:rsid w:val="00202EC3"/>
    <w:rsid w:val="002040E3"/>
    <w:rsid w:val="0020583A"/>
    <w:rsid w:val="00207140"/>
    <w:rsid w:val="00211FD1"/>
    <w:rsid w:val="0021745E"/>
    <w:rsid w:val="002234EC"/>
    <w:rsid w:val="00223AAA"/>
    <w:rsid w:val="00227781"/>
    <w:rsid w:val="00230B83"/>
    <w:rsid w:val="002325D0"/>
    <w:rsid w:val="00235145"/>
    <w:rsid w:val="00237C6D"/>
    <w:rsid w:val="00245A75"/>
    <w:rsid w:val="00250383"/>
    <w:rsid w:val="00250F92"/>
    <w:rsid w:val="00256773"/>
    <w:rsid w:val="00263EC4"/>
    <w:rsid w:val="002650C2"/>
    <w:rsid w:val="002659AD"/>
    <w:rsid w:val="0026615F"/>
    <w:rsid w:val="00266344"/>
    <w:rsid w:val="00270C2C"/>
    <w:rsid w:val="002728E2"/>
    <w:rsid w:val="00272F9E"/>
    <w:rsid w:val="00273DDB"/>
    <w:rsid w:val="00277E2B"/>
    <w:rsid w:val="002838AA"/>
    <w:rsid w:val="00284BC7"/>
    <w:rsid w:val="00286A89"/>
    <w:rsid w:val="0029061F"/>
    <w:rsid w:val="00292088"/>
    <w:rsid w:val="002963BB"/>
    <w:rsid w:val="00296EF5"/>
    <w:rsid w:val="002979DD"/>
    <w:rsid w:val="002A280D"/>
    <w:rsid w:val="002A3D3D"/>
    <w:rsid w:val="002A4601"/>
    <w:rsid w:val="002A5522"/>
    <w:rsid w:val="002A56BF"/>
    <w:rsid w:val="002B2848"/>
    <w:rsid w:val="002C0221"/>
    <w:rsid w:val="002C21E6"/>
    <w:rsid w:val="002C2D07"/>
    <w:rsid w:val="002C3617"/>
    <w:rsid w:val="002C37AF"/>
    <w:rsid w:val="002C48A9"/>
    <w:rsid w:val="002C5324"/>
    <w:rsid w:val="002D18B4"/>
    <w:rsid w:val="002D254B"/>
    <w:rsid w:val="002D3613"/>
    <w:rsid w:val="002D6266"/>
    <w:rsid w:val="002E1CD4"/>
    <w:rsid w:val="002E2489"/>
    <w:rsid w:val="002E5D01"/>
    <w:rsid w:val="002E6AD2"/>
    <w:rsid w:val="002E72F7"/>
    <w:rsid w:val="002F09CD"/>
    <w:rsid w:val="002F15AF"/>
    <w:rsid w:val="002F1956"/>
    <w:rsid w:val="002F32D5"/>
    <w:rsid w:val="00300096"/>
    <w:rsid w:val="00303A4D"/>
    <w:rsid w:val="0030652F"/>
    <w:rsid w:val="0031208F"/>
    <w:rsid w:val="003159FE"/>
    <w:rsid w:val="00315F5C"/>
    <w:rsid w:val="003160B9"/>
    <w:rsid w:val="003175EF"/>
    <w:rsid w:val="00317A0E"/>
    <w:rsid w:val="00323C01"/>
    <w:rsid w:val="003240F9"/>
    <w:rsid w:val="003252C8"/>
    <w:rsid w:val="0033420D"/>
    <w:rsid w:val="00336635"/>
    <w:rsid w:val="0034017A"/>
    <w:rsid w:val="00343483"/>
    <w:rsid w:val="00344502"/>
    <w:rsid w:val="00345977"/>
    <w:rsid w:val="00347A29"/>
    <w:rsid w:val="003553E7"/>
    <w:rsid w:val="0035687E"/>
    <w:rsid w:val="00361F18"/>
    <w:rsid w:val="0036307B"/>
    <w:rsid w:val="003631D6"/>
    <w:rsid w:val="0036357A"/>
    <w:rsid w:val="00363E6A"/>
    <w:rsid w:val="003650E6"/>
    <w:rsid w:val="00365857"/>
    <w:rsid w:val="0036604D"/>
    <w:rsid w:val="0036605E"/>
    <w:rsid w:val="0036699A"/>
    <w:rsid w:val="00371DFE"/>
    <w:rsid w:val="003721F1"/>
    <w:rsid w:val="00374A10"/>
    <w:rsid w:val="00374D46"/>
    <w:rsid w:val="0037564A"/>
    <w:rsid w:val="00380554"/>
    <w:rsid w:val="0038204D"/>
    <w:rsid w:val="00383693"/>
    <w:rsid w:val="00383DFD"/>
    <w:rsid w:val="003841DA"/>
    <w:rsid w:val="00390ABC"/>
    <w:rsid w:val="00390D4D"/>
    <w:rsid w:val="00395A23"/>
    <w:rsid w:val="00396AC6"/>
    <w:rsid w:val="003B00C9"/>
    <w:rsid w:val="003B1471"/>
    <w:rsid w:val="003B3136"/>
    <w:rsid w:val="003B4DDA"/>
    <w:rsid w:val="003B672B"/>
    <w:rsid w:val="003C013B"/>
    <w:rsid w:val="003C10B1"/>
    <w:rsid w:val="003C44AB"/>
    <w:rsid w:val="003C4A87"/>
    <w:rsid w:val="003D00CE"/>
    <w:rsid w:val="003D0468"/>
    <w:rsid w:val="003D0DA7"/>
    <w:rsid w:val="003D1468"/>
    <w:rsid w:val="003D2166"/>
    <w:rsid w:val="003D257B"/>
    <w:rsid w:val="003D27B1"/>
    <w:rsid w:val="003D2D42"/>
    <w:rsid w:val="003D578F"/>
    <w:rsid w:val="003D64EE"/>
    <w:rsid w:val="003D6BD6"/>
    <w:rsid w:val="003E2D4A"/>
    <w:rsid w:val="003E4056"/>
    <w:rsid w:val="003E539F"/>
    <w:rsid w:val="003F0AD0"/>
    <w:rsid w:val="003F2C25"/>
    <w:rsid w:val="003F561B"/>
    <w:rsid w:val="003F6EAB"/>
    <w:rsid w:val="003F7D19"/>
    <w:rsid w:val="00401ECE"/>
    <w:rsid w:val="00401F02"/>
    <w:rsid w:val="00402D8C"/>
    <w:rsid w:val="00405E4F"/>
    <w:rsid w:val="004060A0"/>
    <w:rsid w:val="0040654D"/>
    <w:rsid w:val="00411944"/>
    <w:rsid w:val="0041294A"/>
    <w:rsid w:val="00414272"/>
    <w:rsid w:val="00414416"/>
    <w:rsid w:val="00414F89"/>
    <w:rsid w:val="0042115B"/>
    <w:rsid w:val="0042255C"/>
    <w:rsid w:val="00424733"/>
    <w:rsid w:val="004271F5"/>
    <w:rsid w:val="00427FFB"/>
    <w:rsid w:val="00431B21"/>
    <w:rsid w:val="00435218"/>
    <w:rsid w:val="004365FE"/>
    <w:rsid w:val="00437DA2"/>
    <w:rsid w:val="004418AB"/>
    <w:rsid w:val="0044412F"/>
    <w:rsid w:val="00444B7C"/>
    <w:rsid w:val="00447B05"/>
    <w:rsid w:val="0045075B"/>
    <w:rsid w:val="00454479"/>
    <w:rsid w:val="00456AB2"/>
    <w:rsid w:val="00457270"/>
    <w:rsid w:val="004601A4"/>
    <w:rsid w:val="004633D0"/>
    <w:rsid w:val="00463569"/>
    <w:rsid w:val="00463717"/>
    <w:rsid w:val="0046414B"/>
    <w:rsid w:val="00465947"/>
    <w:rsid w:val="00465A2C"/>
    <w:rsid w:val="0047110A"/>
    <w:rsid w:val="0047219E"/>
    <w:rsid w:val="004732A1"/>
    <w:rsid w:val="004734F1"/>
    <w:rsid w:val="00473E28"/>
    <w:rsid w:val="004748DD"/>
    <w:rsid w:val="00475568"/>
    <w:rsid w:val="00475B32"/>
    <w:rsid w:val="004826B1"/>
    <w:rsid w:val="004902E3"/>
    <w:rsid w:val="00493916"/>
    <w:rsid w:val="00495A9C"/>
    <w:rsid w:val="00496A66"/>
    <w:rsid w:val="0049719F"/>
    <w:rsid w:val="0049721E"/>
    <w:rsid w:val="004A0DA8"/>
    <w:rsid w:val="004A322A"/>
    <w:rsid w:val="004A6656"/>
    <w:rsid w:val="004A6B54"/>
    <w:rsid w:val="004B295D"/>
    <w:rsid w:val="004B2C42"/>
    <w:rsid w:val="004B347D"/>
    <w:rsid w:val="004B378B"/>
    <w:rsid w:val="004B3B36"/>
    <w:rsid w:val="004B49A6"/>
    <w:rsid w:val="004B4BDE"/>
    <w:rsid w:val="004C33EB"/>
    <w:rsid w:val="004C3BDA"/>
    <w:rsid w:val="004C4509"/>
    <w:rsid w:val="004C5403"/>
    <w:rsid w:val="004C6193"/>
    <w:rsid w:val="004D7725"/>
    <w:rsid w:val="004E034E"/>
    <w:rsid w:val="004E136E"/>
    <w:rsid w:val="004E3941"/>
    <w:rsid w:val="004E59B9"/>
    <w:rsid w:val="004E5AC8"/>
    <w:rsid w:val="004E5C80"/>
    <w:rsid w:val="004E6D5C"/>
    <w:rsid w:val="004F16E8"/>
    <w:rsid w:val="004F1D1D"/>
    <w:rsid w:val="004F1DA0"/>
    <w:rsid w:val="004F1FCA"/>
    <w:rsid w:val="004F2DAD"/>
    <w:rsid w:val="004F5271"/>
    <w:rsid w:val="004F5C82"/>
    <w:rsid w:val="00501FDE"/>
    <w:rsid w:val="0050232B"/>
    <w:rsid w:val="0050371C"/>
    <w:rsid w:val="00503E30"/>
    <w:rsid w:val="00505475"/>
    <w:rsid w:val="00506D0D"/>
    <w:rsid w:val="005072FC"/>
    <w:rsid w:val="00507868"/>
    <w:rsid w:val="00512A8A"/>
    <w:rsid w:val="0052124B"/>
    <w:rsid w:val="005222A9"/>
    <w:rsid w:val="005232E6"/>
    <w:rsid w:val="00523F67"/>
    <w:rsid w:val="00524ED5"/>
    <w:rsid w:val="00525DFE"/>
    <w:rsid w:val="00530151"/>
    <w:rsid w:val="00534E00"/>
    <w:rsid w:val="00535136"/>
    <w:rsid w:val="0053798D"/>
    <w:rsid w:val="005427CB"/>
    <w:rsid w:val="00543E51"/>
    <w:rsid w:val="00553CE6"/>
    <w:rsid w:val="00553DF0"/>
    <w:rsid w:val="005557D1"/>
    <w:rsid w:val="00556666"/>
    <w:rsid w:val="00556EF9"/>
    <w:rsid w:val="00562276"/>
    <w:rsid w:val="00562977"/>
    <w:rsid w:val="00567252"/>
    <w:rsid w:val="00571464"/>
    <w:rsid w:val="00571C3D"/>
    <w:rsid w:val="00572D60"/>
    <w:rsid w:val="0057396D"/>
    <w:rsid w:val="00573AF7"/>
    <w:rsid w:val="00577B46"/>
    <w:rsid w:val="00580A51"/>
    <w:rsid w:val="00581C3B"/>
    <w:rsid w:val="00582485"/>
    <w:rsid w:val="00584626"/>
    <w:rsid w:val="00586EB6"/>
    <w:rsid w:val="005900AD"/>
    <w:rsid w:val="00596510"/>
    <w:rsid w:val="005A07C1"/>
    <w:rsid w:val="005A1AF2"/>
    <w:rsid w:val="005A2C67"/>
    <w:rsid w:val="005A2E51"/>
    <w:rsid w:val="005A4208"/>
    <w:rsid w:val="005A6F8A"/>
    <w:rsid w:val="005B06E0"/>
    <w:rsid w:val="005B4174"/>
    <w:rsid w:val="005B4239"/>
    <w:rsid w:val="005B424C"/>
    <w:rsid w:val="005B50B7"/>
    <w:rsid w:val="005B7725"/>
    <w:rsid w:val="005B7C29"/>
    <w:rsid w:val="005C3C91"/>
    <w:rsid w:val="005C5ED1"/>
    <w:rsid w:val="005C62E0"/>
    <w:rsid w:val="005C67E3"/>
    <w:rsid w:val="005D0595"/>
    <w:rsid w:val="005D4FF1"/>
    <w:rsid w:val="005D6998"/>
    <w:rsid w:val="005E15AB"/>
    <w:rsid w:val="005E1EF0"/>
    <w:rsid w:val="005E55FA"/>
    <w:rsid w:val="005E5854"/>
    <w:rsid w:val="005E702B"/>
    <w:rsid w:val="005F0681"/>
    <w:rsid w:val="005F1DC8"/>
    <w:rsid w:val="005F49B3"/>
    <w:rsid w:val="00600F21"/>
    <w:rsid w:val="006027B6"/>
    <w:rsid w:val="00603F1D"/>
    <w:rsid w:val="00604DBF"/>
    <w:rsid w:val="0060590E"/>
    <w:rsid w:val="0061201B"/>
    <w:rsid w:val="00613501"/>
    <w:rsid w:val="0061482A"/>
    <w:rsid w:val="006152D4"/>
    <w:rsid w:val="00622BCA"/>
    <w:rsid w:val="00625A4E"/>
    <w:rsid w:val="00630104"/>
    <w:rsid w:val="0063262C"/>
    <w:rsid w:val="006359CF"/>
    <w:rsid w:val="006362EC"/>
    <w:rsid w:val="00636E16"/>
    <w:rsid w:val="00637513"/>
    <w:rsid w:val="00643EBF"/>
    <w:rsid w:val="0064417A"/>
    <w:rsid w:val="00644654"/>
    <w:rsid w:val="0064496E"/>
    <w:rsid w:val="00646935"/>
    <w:rsid w:val="00646E2B"/>
    <w:rsid w:val="00646FF1"/>
    <w:rsid w:val="006479A1"/>
    <w:rsid w:val="00652604"/>
    <w:rsid w:val="00660DF2"/>
    <w:rsid w:val="0066203A"/>
    <w:rsid w:val="00662DD1"/>
    <w:rsid w:val="00664B46"/>
    <w:rsid w:val="00665E13"/>
    <w:rsid w:val="006664D5"/>
    <w:rsid w:val="006667F4"/>
    <w:rsid w:val="006677D9"/>
    <w:rsid w:val="00674B4D"/>
    <w:rsid w:val="006751B5"/>
    <w:rsid w:val="00676841"/>
    <w:rsid w:val="00680995"/>
    <w:rsid w:val="0068224F"/>
    <w:rsid w:val="006826B1"/>
    <w:rsid w:val="006827BB"/>
    <w:rsid w:val="00683F83"/>
    <w:rsid w:val="00683FAD"/>
    <w:rsid w:val="00685B9F"/>
    <w:rsid w:val="006865FD"/>
    <w:rsid w:val="0068754A"/>
    <w:rsid w:val="00687949"/>
    <w:rsid w:val="00691D01"/>
    <w:rsid w:val="0069492E"/>
    <w:rsid w:val="00694DCA"/>
    <w:rsid w:val="00696771"/>
    <w:rsid w:val="00697A36"/>
    <w:rsid w:val="006A12DF"/>
    <w:rsid w:val="006A3CD0"/>
    <w:rsid w:val="006A4614"/>
    <w:rsid w:val="006A571E"/>
    <w:rsid w:val="006A5CDD"/>
    <w:rsid w:val="006A794B"/>
    <w:rsid w:val="006B18CF"/>
    <w:rsid w:val="006B4B22"/>
    <w:rsid w:val="006B7D16"/>
    <w:rsid w:val="006B7F35"/>
    <w:rsid w:val="006C0E53"/>
    <w:rsid w:val="006C11A3"/>
    <w:rsid w:val="006C2068"/>
    <w:rsid w:val="006C256A"/>
    <w:rsid w:val="006C2C71"/>
    <w:rsid w:val="006C70BA"/>
    <w:rsid w:val="006D4231"/>
    <w:rsid w:val="006D4B56"/>
    <w:rsid w:val="006D739A"/>
    <w:rsid w:val="006E175E"/>
    <w:rsid w:val="006E2B2D"/>
    <w:rsid w:val="006E3163"/>
    <w:rsid w:val="006E34BA"/>
    <w:rsid w:val="006E4833"/>
    <w:rsid w:val="006E4B9C"/>
    <w:rsid w:val="006F245C"/>
    <w:rsid w:val="006F38BD"/>
    <w:rsid w:val="006F53D1"/>
    <w:rsid w:val="006F5B2E"/>
    <w:rsid w:val="006F7D89"/>
    <w:rsid w:val="006F7EF6"/>
    <w:rsid w:val="00702550"/>
    <w:rsid w:val="00703509"/>
    <w:rsid w:val="007048B5"/>
    <w:rsid w:val="00705699"/>
    <w:rsid w:val="00705F44"/>
    <w:rsid w:val="0071068A"/>
    <w:rsid w:val="00714E3C"/>
    <w:rsid w:val="00715ED8"/>
    <w:rsid w:val="00716157"/>
    <w:rsid w:val="007168F0"/>
    <w:rsid w:val="00722831"/>
    <w:rsid w:val="00722C05"/>
    <w:rsid w:val="007241AA"/>
    <w:rsid w:val="0072610D"/>
    <w:rsid w:val="00726DC2"/>
    <w:rsid w:val="00730458"/>
    <w:rsid w:val="0073149C"/>
    <w:rsid w:val="00731B34"/>
    <w:rsid w:val="007379A0"/>
    <w:rsid w:val="00745B59"/>
    <w:rsid w:val="007508ED"/>
    <w:rsid w:val="007512D4"/>
    <w:rsid w:val="00753325"/>
    <w:rsid w:val="00754032"/>
    <w:rsid w:val="0075568A"/>
    <w:rsid w:val="00760A9A"/>
    <w:rsid w:val="00763525"/>
    <w:rsid w:val="007645FF"/>
    <w:rsid w:val="00764B95"/>
    <w:rsid w:val="0077301C"/>
    <w:rsid w:val="00774E41"/>
    <w:rsid w:val="0077528E"/>
    <w:rsid w:val="007758DF"/>
    <w:rsid w:val="007771A9"/>
    <w:rsid w:val="0078095F"/>
    <w:rsid w:val="00780B2D"/>
    <w:rsid w:val="00780C22"/>
    <w:rsid w:val="007814CB"/>
    <w:rsid w:val="007829B0"/>
    <w:rsid w:val="00783231"/>
    <w:rsid w:val="00783405"/>
    <w:rsid w:val="00783CC9"/>
    <w:rsid w:val="007842C2"/>
    <w:rsid w:val="00785FC5"/>
    <w:rsid w:val="00786659"/>
    <w:rsid w:val="007901F5"/>
    <w:rsid w:val="0079042D"/>
    <w:rsid w:val="00792767"/>
    <w:rsid w:val="00792FC7"/>
    <w:rsid w:val="00793855"/>
    <w:rsid w:val="00794ADC"/>
    <w:rsid w:val="00796379"/>
    <w:rsid w:val="00796D7D"/>
    <w:rsid w:val="00797700"/>
    <w:rsid w:val="007A37B5"/>
    <w:rsid w:val="007A4A2B"/>
    <w:rsid w:val="007A4B3A"/>
    <w:rsid w:val="007A5A52"/>
    <w:rsid w:val="007A6A1E"/>
    <w:rsid w:val="007B4623"/>
    <w:rsid w:val="007B48D1"/>
    <w:rsid w:val="007B5883"/>
    <w:rsid w:val="007B72CB"/>
    <w:rsid w:val="007C08C4"/>
    <w:rsid w:val="007C097A"/>
    <w:rsid w:val="007C1B14"/>
    <w:rsid w:val="007C4668"/>
    <w:rsid w:val="007C5447"/>
    <w:rsid w:val="007D0BAC"/>
    <w:rsid w:val="007D2178"/>
    <w:rsid w:val="007D3A07"/>
    <w:rsid w:val="007D531C"/>
    <w:rsid w:val="007D5EA8"/>
    <w:rsid w:val="007D62DC"/>
    <w:rsid w:val="007D79EC"/>
    <w:rsid w:val="007E005A"/>
    <w:rsid w:val="007E54A6"/>
    <w:rsid w:val="007E59BE"/>
    <w:rsid w:val="007E5E4A"/>
    <w:rsid w:val="007F0272"/>
    <w:rsid w:val="007F1AD7"/>
    <w:rsid w:val="007F55E9"/>
    <w:rsid w:val="007F7E28"/>
    <w:rsid w:val="008029EA"/>
    <w:rsid w:val="008032D1"/>
    <w:rsid w:val="00803E83"/>
    <w:rsid w:val="008050EF"/>
    <w:rsid w:val="008071BF"/>
    <w:rsid w:val="0081037C"/>
    <w:rsid w:val="008104A6"/>
    <w:rsid w:val="00821A87"/>
    <w:rsid w:val="0082406D"/>
    <w:rsid w:val="00824C9C"/>
    <w:rsid w:val="00825CB7"/>
    <w:rsid w:val="008300B0"/>
    <w:rsid w:val="0083553D"/>
    <w:rsid w:val="008369BA"/>
    <w:rsid w:val="008377AD"/>
    <w:rsid w:val="00840A32"/>
    <w:rsid w:val="008439FE"/>
    <w:rsid w:val="00844E28"/>
    <w:rsid w:val="00850F03"/>
    <w:rsid w:val="008523E0"/>
    <w:rsid w:val="008544FA"/>
    <w:rsid w:val="0085476E"/>
    <w:rsid w:val="00855C47"/>
    <w:rsid w:val="0086042A"/>
    <w:rsid w:val="00860ED2"/>
    <w:rsid w:val="00862647"/>
    <w:rsid w:val="00862EE8"/>
    <w:rsid w:val="008702D1"/>
    <w:rsid w:val="008705DC"/>
    <w:rsid w:val="0087257C"/>
    <w:rsid w:val="0087548E"/>
    <w:rsid w:val="00876CB6"/>
    <w:rsid w:val="0087770B"/>
    <w:rsid w:val="008810F4"/>
    <w:rsid w:val="00881AD5"/>
    <w:rsid w:val="008839FD"/>
    <w:rsid w:val="008849C7"/>
    <w:rsid w:val="00884F94"/>
    <w:rsid w:val="008850E5"/>
    <w:rsid w:val="008866B7"/>
    <w:rsid w:val="008873DB"/>
    <w:rsid w:val="0088742D"/>
    <w:rsid w:val="00887AF3"/>
    <w:rsid w:val="0089149A"/>
    <w:rsid w:val="00892454"/>
    <w:rsid w:val="0089304A"/>
    <w:rsid w:val="008943FE"/>
    <w:rsid w:val="008953BA"/>
    <w:rsid w:val="008966DF"/>
    <w:rsid w:val="008A399B"/>
    <w:rsid w:val="008A527A"/>
    <w:rsid w:val="008A7211"/>
    <w:rsid w:val="008A75E3"/>
    <w:rsid w:val="008A7815"/>
    <w:rsid w:val="008B0FA2"/>
    <w:rsid w:val="008B2723"/>
    <w:rsid w:val="008B31E3"/>
    <w:rsid w:val="008B34A4"/>
    <w:rsid w:val="008B3BFE"/>
    <w:rsid w:val="008B3EF3"/>
    <w:rsid w:val="008B5921"/>
    <w:rsid w:val="008B71E7"/>
    <w:rsid w:val="008C2362"/>
    <w:rsid w:val="008C4108"/>
    <w:rsid w:val="008C5932"/>
    <w:rsid w:val="008C766B"/>
    <w:rsid w:val="008D2898"/>
    <w:rsid w:val="008D5146"/>
    <w:rsid w:val="008D518B"/>
    <w:rsid w:val="008D7DF3"/>
    <w:rsid w:val="008E129F"/>
    <w:rsid w:val="008E15C4"/>
    <w:rsid w:val="008E234D"/>
    <w:rsid w:val="008E382C"/>
    <w:rsid w:val="008E5EF1"/>
    <w:rsid w:val="008E6B71"/>
    <w:rsid w:val="008E6DA2"/>
    <w:rsid w:val="008E6E3A"/>
    <w:rsid w:val="008E7993"/>
    <w:rsid w:val="008F4FC5"/>
    <w:rsid w:val="008F6328"/>
    <w:rsid w:val="008F638A"/>
    <w:rsid w:val="008F68AD"/>
    <w:rsid w:val="00902DD9"/>
    <w:rsid w:val="009059FD"/>
    <w:rsid w:val="0090615A"/>
    <w:rsid w:val="00907148"/>
    <w:rsid w:val="0090737F"/>
    <w:rsid w:val="009108B2"/>
    <w:rsid w:val="00913BE7"/>
    <w:rsid w:val="00913EB5"/>
    <w:rsid w:val="00914F91"/>
    <w:rsid w:val="0091737E"/>
    <w:rsid w:val="00920078"/>
    <w:rsid w:val="00920093"/>
    <w:rsid w:val="009201D6"/>
    <w:rsid w:val="009207F8"/>
    <w:rsid w:val="0092132F"/>
    <w:rsid w:val="00921913"/>
    <w:rsid w:val="00921C7E"/>
    <w:rsid w:val="009228B8"/>
    <w:rsid w:val="0092307A"/>
    <w:rsid w:val="00924087"/>
    <w:rsid w:val="00926C15"/>
    <w:rsid w:val="00935BA6"/>
    <w:rsid w:val="009375E1"/>
    <w:rsid w:val="00941D78"/>
    <w:rsid w:val="0094493F"/>
    <w:rsid w:val="00950E9B"/>
    <w:rsid w:val="00953FCF"/>
    <w:rsid w:val="00954017"/>
    <w:rsid w:val="00955F29"/>
    <w:rsid w:val="00957904"/>
    <w:rsid w:val="0096010D"/>
    <w:rsid w:val="00962132"/>
    <w:rsid w:val="00962C2C"/>
    <w:rsid w:val="00963E4D"/>
    <w:rsid w:val="00965C90"/>
    <w:rsid w:val="00966168"/>
    <w:rsid w:val="00971B10"/>
    <w:rsid w:val="009727A5"/>
    <w:rsid w:val="00974673"/>
    <w:rsid w:val="00974AFE"/>
    <w:rsid w:val="009759E2"/>
    <w:rsid w:val="00977B08"/>
    <w:rsid w:val="00980B9B"/>
    <w:rsid w:val="00982E89"/>
    <w:rsid w:val="009841FC"/>
    <w:rsid w:val="009848DF"/>
    <w:rsid w:val="00985371"/>
    <w:rsid w:val="0099061D"/>
    <w:rsid w:val="00990DC7"/>
    <w:rsid w:val="009919C5"/>
    <w:rsid w:val="00993008"/>
    <w:rsid w:val="009960CF"/>
    <w:rsid w:val="0099663C"/>
    <w:rsid w:val="009979C4"/>
    <w:rsid w:val="009A0CAE"/>
    <w:rsid w:val="009A0FCE"/>
    <w:rsid w:val="009A1618"/>
    <w:rsid w:val="009A1B2C"/>
    <w:rsid w:val="009A3566"/>
    <w:rsid w:val="009A35E6"/>
    <w:rsid w:val="009A6A9F"/>
    <w:rsid w:val="009A6AA4"/>
    <w:rsid w:val="009B12D8"/>
    <w:rsid w:val="009B3C8A"/>
    <w:rsid w:val="009B3DF2"/>
    <w:rsid w:val="009B4CB2"/>
    <w:rsid w:val="009B548A"/>
    <w:rsid w:val="009B6A77"/>
    <w:rsid w:val="009C2C4E"/>
    <w:rsid w:val="009C4760"/>
    <w:rsid w:val="009C5130"/>
    <w:rsid w:val="009C66BF"/>
    <w:rsid w:val="009C7570"/>
    <w:rsid w:val="009D0F01"/>
    <w:rsid w:val="009D2023"/>
    <w:rsid w:val="009D2F44"/>
    <w:rsid w:val="009D453A"/>
    <w:rsid w:val="009D57AF"/>
    <w:rsid w:val="009D5930"/>
    <w:rsid w:val="009D59BC"/>
    <w:rsid w:val="009D7933"/>
    <w:rsid w:val="009D7C41"/>
    <w:rsid w:val="009E12A7"/>
    <w:rsid w:val="009E1EEA"/>
    <w:rsid w:val="009E4E55"/>
    <w:rsid w:val="009E6B2E"/>
    <w:rsid w:val="009F1FFE"/>
    <w:rsid w:val="009F4B12"/>
    <w:rsid w:val="009F7292"/>
    <w:rsid w:val="00A00A7F"/>
    <w:rsid w:val="00A00CDF"/>
    <w:rsid w:val="00A00F35"/>
    <w:rsid w:val="00A01FC7"/>
    <w:rsid w:val="00A07A32"/>
    <w:rsid w:val="00A10C06"/>
    <w:rsid w:val="00A1166E"/>
    <w:rsid w:val="00A14677"/>
    <w:rsid w:val="00A16D82"/>
    <w:rsid w:val="00A20ABF"/>
    <w:rsid w:val="00A21826"/>
    <w:rsid w:val="00A264C8"/>
    <w:rsid w:val="00A27862"/>
    <w:rsid w:val="00A33E60"/>
    <w:rsid w:val="00A35DB4"/>
    <w:rsid w:val="00A37C34"/>
    <w:rsid w:val="00A4247D"/>
    <w:rsid w:val="00A427CE"/>
    <w:rsid w:val="00A430CD"/>
    <w:rsid w:val="00A45B2C"/>
    <w:rsid w:val="00A47B41"/>
    <w:rsid w:val="00A50A10"/>
    <w:rsid w:val="00A5100C"/>
    <w:rsid w:val="00A51765"/>
    <w:rsid w:val="00A51DA6"/>
    <w:rsid w:val="00A5295F"/>
    <w:rsid w:val="00A56A00"/>
    <w:rsid w:val="00A6339C"/>
    <w:rsid w:val="00A6376F"/>
    <w:rsid w:val="00A6493F"/>
    <w:rsid w:val="00A64A79"/>
    <w:rsid w:val="00A6745E"/>
    <w:rsid w:val="00A70AAE"/>
    <w:rsid w:val="00A71EFD"/>
    <w:rsid w:val="00A720DF"/>
    <w:rsid w:val="00A727CE"/>
    <w:rsid w:val="00A72973"/>
    <w:rsid w:val="00A73C1D"/>
    <w:rsid w:val="00A75EB2"/>
    <w:rsid w:val="00A76632"/>
    <w:rsid w:val="00A76B74"/>
    <w:rsid w:val="00A83B34"/>
    <w:rsid w:val="00A83BA0"/>
    <w:rsid w:val="00A858A5"/>
    <w:rsid w:val="00A94DAC"/>
    <w:rsid w:val="00A957AD"/>
    <w:rsid w:val="00A96CFB"/>
    <w:rsid w:val="00AA4993"/>
    <w:rsid w:val="00AA768F"/>
    <w:rsid w:val="00AB0108"/>
    <w:rsid w:val="00AB077F"/>
    <w:rsid w:val="00AB1CE4"/>
    <w:rsid w:val="00AB4EF9"/>
    <w:rsid w:val="00AB548D"/>
    <w:rsid w:val="00AC2667"/>
    <w:rsid w:val="00AC39EE"/>
    <w:rsid w:val="00AC79AD"/>
    <w:rsid w:val="00AC7BF0"/>
    <w:rsid w:val="00AC7DDD"/>
    <w:rsid w:val="00AD00B5"/>
    <w:rsid w:val="00AD0BB4"/>
    <w:rsid w:val="00AD23C6"/>
    <w:rsid w:val="00AD30A5"/>
    <w:rsid w:val="00AD6C03"/>
    <w:rsid w:val="00AE0C03"/>
    <w:rsid w:val="00AE3061"/>
    <w:rsid w:val="00AE308D"/>
    <w:rsid w:val="00AE611F"/>
    <w:rsid w:val="00AF06A6"/>
    <w:rsid w:val="00AF11F5"/>
    <w:rsid w:val="00AF123E"/>
    <w:rsid w:val="00AF190F"/>
    <w:rsid w:val="00AF31B7"/>
    <w:rsid w:val="00AF6E8D"/>
    <w:rsid w:val="00AF70F4"/>
    <w:rsid w:val="00AF7D3C"/>
    <w:rsid w:val="00B0042E"/>
    <w:rsid w:val="00B014D4"/>
    <w:rsid w:val="00B02D79"/>
    <w:rsid w:val="00B02DEB"/>
    <w:rsid w:val="00B030A4"/>
    <w:rsid w:val="00B0748D"/>
    <w:rsid w:val="00B07F60"/>
    <w:rsid w:val="00B116E3"/>
    <w:rsid w:val="00B1272D"/>
    <w:rsid w:val="00B13A89"/>
    <w:rsid w:val="00B14BF2"/>
    <w:rsid w:val="00B22FB6"/>
    <w:rsid w:val="00B265FE"/>
    <w:rsid w:val="00B31AAA"/>
    <w:rsid w:val="00B32B41"/>
    <w:rsid w:val="00B33258"/>
    <w:rsid w:val="00B334CD"/>
    <w:rsid w:val="00B3375D"/>
    <w:rsid w:val="00B34FC1"/>
    <w:rsid w:val="00B36296"/>
    <w:rsid w:val="00B36472"/>
    <w:rsid w:val="00B3702E"/>
    <w:rsid w:val="00B37736"/>
    <w:rsid w:val="00B42A6E"/>
    <w:rsid w:val="00B42C5A"/>
    <w:rsid w:val="00B45EB8"/>
    <w:rsid w:val="00B478CA"/>
    <w:rsid w:val="00B50DBC"/>
    <w:rsid w:val="00B56CEC"/>
    <w:rsid w:val="00B56F24"/>
    <w:rsid w:val="00B60720"/>
    <w:rsid w:val="00B62515"/>
    <w:rsid w:val="00B654F7"/>
    <w:rsid w:val="00B65DCA"/>
    <w:rsid w:val="00B674DC"/>
    <w:rsid w:val="00B70A6A"/>
    <w:rsid w:val="00B71C82"/>
    <w:rsid w:val="00B745A6"/>
    <w:rsid w:val="00B76076"/>
    <w:rsid w:val="00B8010F"/>
    <w:rsid w:val="00B848B1"/>
    <w:rsid w:val="00B8665E"/>
    <w:rsid w:val="00B92330"/>
    <w:rsid w:val="00B93D58"/>
    <w:rsid w:val="00B94843"/>
    <w:rsid w:val="00B973CC"/>
    <w:rsid w:val="00BA2242"/>
    <w:rsid w:val="00BA3538"/>
    <w:rsid w:val="00BA735A"/>
    <w:rsid w:val="00BA79C5"/>
    <w:rsid w:val="00BB08F2"/>
    <w:rsid w:val="00BB3621"/>
    <w:rsid w:val="00BB5805"/>
    <w:rsid w:val="00BB5A9E"/>
    <w:rsid w:val="00BB7099"/>
    <w:rsid w:val="00BB7E49"/>
    <w:rsid w:val="00BC4182"/>
    <w:rsid w:val="00BC5E8E"/>
    <w:rsid w:val="00BC610D"/>
    <w:rsid w:val="00BC66AD"/>
    <w:rsid w:val="00BD29AC"/>
    <w:rsid w:val="00BD3566"/>
    <w:rsid w:val="00BD48BD"/>
    <w:rsid w:val="00BD4CAE"/>
    <w:rsid w:val="00BE1F76"/>
    <w:rsid w:val="00BE3AC9"/>
    <w:rsid w:val="00BE44F4"/>
    <w:rsid w:val="00BE56F5"/>
    <w:rsid w:val="00BF030F"/>
    <w:rsid w:val="00BF18EC"/>
    <w:rsid w:val="00BF54A6"/>
    <w:rsid w:val="00BF79B0"/>
    <w:rsid w:val="00C006CB"/>
    <w:rsid w:val="00C01CAC"/>
    <w:rsid w:val="00C02367"/>
    <w:rsid w:val="00C039B7"/>
    <w:rsid w:val="00C03CFD"/>
    <w:rsid w:val="00C045D7"/>
    <w:rsid w:val="00C0767C"/>
    <w:rsid w:val="00C115A1"/>
    <w:rsid w:val="00C11C40"/>
    <w:rsid w:val="00C126B3"/>
    <w:rsid w:val="00C14219"/>
    <w:rsid w:val="00C14E90"/>
    <w:rsid w:val="00C1559F"/>
    <w:rsid w:val="00C173B8"/>
    <w:rsid w:val="00C17EBA"/>
    <w:rsid w:val="00C221FF"/>
    <w:rsid w:val="00C2251A"/>
    <w:rsid w:val="00C25007"/>
    <w:rsid w:val="00C25914"/>
    <w:rsid w:val="00C30D73"/>
    <w:rsid w:val="00C32F32"/>
    <w:rsid w:val="00C36ACD"/>
    <w:rsid w:val="00C403D2"/>
    <w:rsid w:val="00C403DC"/>
    <w:rsid w:val="00C40B7C"/>
    <w:rsid w:val="00C419F7"/>
    <w:rsid w:val="00C423D9"/>
    <w:rsid w:val="00C43F40"/>
    <w:rsid w:val="00C4474F"/>
    <w:rsid w:val="00C501BF"/>
    <w:rsid w:val="00C5232C"/>
    <w:rsid w:val="00C537D5"/>
    <w:rsid w:val="00C54703"/>
    <w:rsid w:val="00C55B63"/>
    <w:rsid w:val="00C600A2"/>
    <w:rsid w:val="00C615A1"/>
    <w:rsid w:val="00C64663"/>
    <w:rsid w:val="00C761F3"/>
    <w:rsid w:val="00C80A90"/>
    <w:rsid w:val="00C85F01"/>
    <w:rsid w:val="00C9184D"/>
    <w:rsid w:val="00C9339D"/>
    <w:rsid w:val="00C94C89"/>
    <w:rsid w:val="00C96C24"/>
    <w:rsid w:val="00CA073A"/>
    <w:rsid w:val="00CA1DA6"/>
    <w:rsid w:val="00CA3D13"/>
    <w:rsid w:val="00CA48DD"/>
    <w:rsid w:val="00CA4F81"/>
    <w:rsid w:val="00CA5E85"/>
    <w:rsid w:val="00CB06C4"/>
    <w:rsid w:val="00CB07A1"/>
    <w:rsid w:val="00CB18CE"/>
    <w:rsid w:val="00CB2504"/>
    <w:rsid w:val="00CB393D"/>
    <w:rsid w:val="00CB3EDA"/>
    <w:rsid w:val="00CB56B4"/>
    <w:rsid w:val="00CB6230"/>
    <w:rsid w:val="00CB69A3"/>
    <w:rsid w:val="00CB70F2"/>
    <w:rsid w:val="00CC0D5F"/>
    <w:rsid w:val="00CC2A7A"/>
    <w:rsid w:val="00CC2CF2"/>
    <w:rsid w:val="00CC38AC"/>
    <w:rsid w:val="00CC3B9F"/>
    <w:rsid w:val="00CC510A"/>
    <w:rsid w:val="00CC5663"/>
    <w:rsid w:val="00CD21B2"/>
    <w:rsid w:val="00CD2C53"/>
    <w:rsid w:val="00CD4744"/>
    <w:rsid w:val="00CD49F6"/>
    <w:rsid w:val="00CE0AF7"/>
    <w:rsid w:val="00CE19CB"/>
    <w:rsid w:val="00CE2DAD"/>
    <w:rsid w:val="00CE5825"/>
    <w:rsid w:val="00CE718E"/>
    <w:rsid w:val="00CF4C12"/>
    <w:rsid w:val="00CF50A2"/>
    <w:rsid w:val="00CF5347"/>
    <w:rsid w:val="00CF5445"/>
    <w:rsid w:val="00CF5EDA"/>
    <w:rsid w:val="00CF6591"/>
    <w:rsid w:val="00D0181B"/>
    <w:rsid w:val="00D0184F"/>
    <w:rsid w:val="00D01888"/>
    <w:rsid w:val="00D0278F"/>
    <w:rsid w:val="00D0775F"/>
    <w:rsid w:val="00D114A3"/>
    <w:rsid w:val="00D11B17"/>
    <w:rsid w:val="00D13842"/>
    <w:rsid w:val="00D1415A"/>
    <w:rsid w:val="00D14746"/>
    <w:rsid w:val="00D149B9"/>
    <w:rsid w:val="00D162CE"/>
    <w:rsid w:val="00D17EDF"/>
    <w:rsid w:val="00D210CA"/>
    <w:rsid w:val="00D21DEC"/>
    <w:rsid w:val="00D27124"/>
    <w:rsid w:val="00D31618"/>
    <w:rsid w:val="00D31ECF"/>
    <w:rsid w:val="00D32079"/>
    <w:rsid w:val="00D35EF8"/>
    <w:rsid w:val="00D3775B"/>
    <w:rsid w:val="00D4057F"/>
    <w:rsid w:val="00D40797"/>
    <w:rsid w:val="00D40B4F"/>
    <w:rsid w:val="00D4243A"/>
    <w:rsid w:val="00D433AA"/>
    <w:rsid w:val="00D45298"/>
    <w:rsid w:val="00D46B98"/>
    <w:rsid w:val="00D53789"/>
    <w:rsid w:val="00D54B69"/>
    <w:rsid w:val="00D54E99"/>
    <w:rsid w:val="00D57018"/>
    <w:rsid w:val="00D617F4"/>
    <w:rsid w:val="00D7473E"/>
    <w:rsid w:val="00D749E6"/>
    <w:rsid w:val="00D86461"/>
    <w:rsid w:val="00D91CEB"/>
    <w:rsid w:val="00D96B2B"/>
    <w:rsid w:val="00D9706B"/>
    <w:rsid w:val="00DA4688"/>
    <w:rsid w:val="00DA59FE"/>
    <w:rsid w:val="00DA5F79"/>
    <w:rsid w:val="00DA6BEF"/>
    <w:rsid w:val="00DB1165"/>
    <w:rsid w:val="00DB1320"/>
    <w:rsid w:val="00DB34DD"/>
    <w:rsid w:val="00DB7CDA"/>
    <w:rsid w:val="00DC0B81"/>
    <w:rsid w:val="00DC32A8"/>
    <w:rsid w:val="00DC352B"/>
    <w:rsid w:val="00DC3687"/>
    <w:rsid w:val="00DC3B38"/>
    <w:rsid w:val="00DC52BC"/>
    <w:rsid w:val="00DD0A4F"/>
    <w:rsid w:val="00DD1C07"/>
    <w:rsid w:val="00DD1D41"/>
    <w:rsid w:val="00DD5943"/>
    <w:rsid w:val="00DE0C9A"/>
    <w:rsid w:val="00DE1D4E"/>
    <w:rsid w:val="00DF0490"/>
    <w:rsid w:val="00DF0688"/>
    <w:rsid w:val="00DF0B4B"/>
    <w:rsid w:val="00DF1CE8"/>
    <w:rsid w:val="00DF4A55"/>
    <w:rsid w:val="00E01486"/>
    <w:rsid w:val="00E02737"/>
    <w:rsid w:val="00E073E4"/>
    <w:rsid w:val="00E12051"/>
    <w:rsid w:val="00E14FFB"/>
    <w:rsid w:val="00E15829"/>
    <w:rsid w:val="00E16AE7"/>
    <w:rsid w:val="00E20D1E"/>
    <w:rsid w:val="00E24C02"/>
    <w:rsid w:val="00E24E27"/>
    <w:rsid w:val="00E2634D"/>
    <w:rsid w:val="00E269DD"/>
    <w:rsid w:val="00E276E1"/>
    <w:rsid w:val="00E27B06"/>
    <w:rsid w:val="00E301C6"/>
    <w:rsid w:val="00E30F4E"/>
    <w:rsid w:val="00E317B1"/>
    <w:rsid w:val="00E32D71"/>
    <w:rsid w:val="00E341A3"/>
    <w:rsid w:val="00E365B6"/>
    <w:rsid w:val="00E36A3B"/>
    <w:rsid w:val="00E37E95"/>
    <w:rsid w:val="00E37F46"/>
    <w:rsid w:val="00E4339A"/>
    <w:rsid w:val="00E44A59"/>
    <w:rsid w:val="00E4643E"/>
    <w:rsid w:val="00E46B59"/>
    <w:rsid w:val="00E50D31"/>
    <w:rsid w:val="00E5270D"/>
    <w:rsid w:val="00E53F3C"/>
    <w:rsid w:val="00E53FEA"/>
    <w:rsid w:val="00E542D6"/>
    <w:rsid w:val="00E543C0"/>
    <w:rsid w:val="00E555AA"/>
    <w:rsid w:val="00E57194"/>
    <w:rsid w:val="00E61B97"/>
    <w:rsid w:val="00E61F18"/>
    <w:rsid w:val="00E62277"/>
    <w:rsid w:val="00E65D58"/>
    <w:rsid w:val="00E66BCF"/>
    <w:rsid w:val="00E701C6"/>
    <w:rsid w:val="00E739BA"/>
    <w:rsid w:val="00E744B4"/>
    <w:rsid w:val="00E80AA7"/>
    <w:rsid w:val="00E815AE"/>
    <w:rsid w:val="00E830B8"/>
    <w:rsid w:val="00E8434C"/>
    <w:rsid w:val="00E95812"/>
    <w:rsid w:val="00E95D56"/>
    <w:rsid w:val="00E967E5"/>
    <w:rsid w:val="00EA0169"/>
    <w:rsid w:val="00EA0536"/>
    <w:rsid w:val="00EA148B"/>
    <w:rsid w:val="00EA189A"/>
    <w:rsid w:val="00EA464B"/>
    <w:rsid w:val="00EA4F49"/>
    <w:rsid w:val="00EA7470"/>
    <w:rsid w:val="00EA7591"/>
    <w:rsid w:val="00EB008A"/>
    <w:rsid w:val="00EB06D8"/>
    <w:rsid w:val="00EB1257"/>
    <w:rsid w:val="00EB1ED0"/>
    <w:rsid w:val="00EB4CC7"/>
    <w:rsid w:val="00EB57E5"/>
    <w:rsid w:val="00EB5998"/>
    <w:rsid w:val="00EB6956"/>
    <w:rsid w:val="00EC0CF2"/>
    <w:rsid w:val="00EC1C11"/>
    <w:rsid w:val="00EC200D"/>
    <w:rsid w:val="00EC3192"/>
    <w:rsid w:val="00EC32C0"/>
    <w:rsid w:val="00EC74F7"/>
    <w:rsid w:val="00ED00E5"/>
    <w:rsid w:val="00ED0492"/>
    <w:rsid w:val="00ED073B"/>
    <w:rsid w:val="00ED1BC6"/>
    <w:rsid w:val="00ED1E2F"/>
    <w:rsid w:val="00ED4846"/>
    <w:rsid w:val="00ED75F7"/>
    <w:rsid w:val="00EE0A09"/>
    <w:rsid w:val="00EE34AD"/>
    <w:rsid w:val="00EE4DFA"/>
    <w:rsid w:val="00EE60D9"/>
    <w:rsid w:val="00EE62E9"/>
    <w:rsid w:val="00EF05D0"/>
    <w:rsid w:val="00EF459A"/>
    <w:rsid w:val="00EF47BF"/>
    <w:rsid w:val="00EF539C"/>
    <w:rsid w:val="00EF735E"/>
    <w:rsid w:val="00F00713"/>
    <w:rsid w:val="00F01517"/>
    <w:rsid w:val="00F11495"/>
    <w:rsid w:val="00F119E4"/>
    <w:rsid w:val="00F133EC"/>
    <w:rsid w:val="00F13ABD"/>
    <w:rsid w:val="00F13B73"/>
    <w:rsid w:val="00F23116"/>
    <w:rsid w:val="00F232D4"/>
    <w:rsid w:val="00F23CEC"/>
    <w:rsid w:val="00F25845"/>
    <w:rsid w:val="00F30817"/>
    <w:rsid w:val="00F328C6"/>
    <w:rsid w:val="00F3548F"/>
    <w:rsid w:val="00F363C8"/>
    <w:rsid w:val="00F37035"/>
    <w:rsid w:val="00F4240E"/>
    <w:rsid w:val="00F42820"/>
    <w:rsid w:val="00F443F2"/>
    <w:rsid w:val="00F44877"/>
    <w:rsid w:val="00F4683F"/>
    <w:rsid w:val="00F509A6"/>
    <w:rsid w:val="00F510C5"/>
    <w:rsid w:val="00F53770"/>
    <w:rsid w:val="00F53F88"/>
    <w:rsid w:val="00F56763"/>
    <w:rsid w:val="00F57092"/>
    <w:rsid w:val="00F61952"/>
    <w:rsid w:val="00F61B20"/>
    <w:rsid w:val="00F61B7C"/>
    <w:rsid w:val="00F61FD3"/>
    <w:rsid w:val="00F63595"/>
    <w:rsid w:val="00F6430B"/>
    <w:rsid w:val="00F703BE"/>
    <w:rsid w:val="00F7132D"/>
    <w:rsid w:val="00F73119"/>
    <w:rsid w:val="00F7715F"/>
    <w:rsid w:val="00F81296"/>
    <w:rsid w:val="00F83D1D"/>
    <w:rsid w:val="00F8453C"/>
    <w:rsid w:val="00F84BB9"/>
    <w:rsid w:val="00F8521B"/>
    <w:rsid w:val="00F87EEA"/>
    <w:rsid w:val="00F94349"/>
    <w:rsid w:val="00F95AFC"/>
    <w:rsid w:val="00F97B87"/>
    <w:rsid w:val="00FA084B"/>
    <w:rsid w:val="00FA0ABB"/>
    <w:rsid w:val="00FA0DB6"/>
    <w:rsid w:val="00FA17C3"/>
    <w:rsid w:val="00FA2442"/>
    <w:rsid w:val="00FA3034"/>
    <w:rsid w:val="00FA379C"/>
    <w:rsid w:val="00FA486B"/>
    <w:rsid w:val="00FA52F9"/>
    <w:rsid w:val="00FA57BD"/>
    <w:rsid w:val="00FA664F"/>
    <w:rsid w:val="00FB03FC"/>
    <w:rsid w:val="00FB3079"/>
    <w:rsid w:val="00FB5285"/>
    <w:rsid w:val="00FB6E16"/>
    <w:rsid w:val="00FC26B4"/>
    <w:rsid w:val="00FC6122"/>
    <w:rsid w:val="00FC633F"/>
    <w:rsid w:val="00FD5475"/>
    <w:rsid w:val="00FD57C5"/>
    <w:rsid w:val="00FE14CE"/>
    <w:rsid w:val="00FE21AF"/>
    <w:rsid w:val="00FE400F"/>
    <w:rsid w:val="00FE55E7"/>
    <w:rsid w:val="00FE6864"/>
    <w:rsid w:val="00FE69AD"/>
    <w:rsid w:val="00FF0785"/>
    <w:rsid w:val="00FF3FF5"/>
    <w:rsid w:val="00FF55F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695C"/>
  <w15:docId w15:val="{79DCABBA-7CC5-4C70-A583-CAFAB5D6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19E4"/>
    <w:pPr>
      <w:spacing w:before="200"/>
    </w:pPr>
    <w:rPr>
      <w:rFonts w:ascii="Calibri" w:eastAsia="Times New Roman" w:hAnsi="Calibri" w:cs="Times New Roman"/>
      <w:sz w:val="20"/>
      <w:szCs w:val="20"/>
      <w:lang w:bidi="en-US"/>
    </w:rPr>
  </w:style>
  <w:style w:type="paragraph" w:styleId="Heading1">
    <w:name w:val="heading 1"/>
    <w:basedOn w:val="Normal"/>
    <w:next w:val="Normal"/>
    <w:link w:val="Heading1Char"/>
    <w:uiPriority w:val="9"/>
    <w:qFormat/>
    <w:rsid w:val="008873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8702D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Heading">
    <w:name w:val="Company Heading"/>
    <w:basedOn w:val="Title"/>
    <w:link w:val="CompanyHeadingChar"/>
    <w:autoRedefine/>
    <w:qFormat/>
    <w:rsid w:val="008873DB"/>
    <w:rPr>
      <w:rFonts w:ascii="Atilla" w:hAnsi="Atilla"/>
      <w:color w:val="548DD4" w:themeColor="text2" w:themeTint="99"/>
    </w:rPr>
  </w:style>
  <w:style w:type="paragraph" w:styleId="Title">
    <w:name w:val="Title"/>
    <w:basedOn w:val="Normal"/>
    <w:next w:val="Normal"/>
    <w:link w:val="TitleChar"/>
    <w:uiPriority w:val="10"/>
    <w:qFormat/>
    <w:rsid w:val="008873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73DB"/>
    <w:rPr>
      <w:rFonts w:asciiTheme="majorHAnsi" w:eastAsiaTheme="majorEastAsia" w:hAnsiTheme="majorHAnsi" w:cstheme="majorBidi"/>
      <w:color w:val="17365D" w:themeColor="text2" w:themeShade="BF"/>
      <w:spacing w:val="5"/>
      <w:kern w:val="28"/>
      <w:sz w:val="52"/>
      <w:szCs w:val="52"/>
    </w:rPr>
  </w:style>
  <w:style w:type="character" w:customStyle="1" w:styleId="CompanyHeadingChar">
    <w:name w:val="Company Heading Char"/>
    <w:basedOn w:val="TitleChar"/>
    <w:link w:val="CompanyHeading"/>
    <w:rsid w:val="008873DB"/>
    <w:rPr>
      <w:rFonts w:ascii="Atilla" w:eastAsiaTheme="majorEastAsia" w:hAnsi="Atilla" w:cstheme="majorBidi"/>
      <w:color w:val="548DD4" w:themeColor="text2" w:themeTint="99"/>
      <w:spacing w:val="5"/>
      <w:kern w:val="28"/>
      <w:sz w:val="52"/>
      <w:szCs w:val="52"/>
    </w:rPr>
  </w:style>
  <w:style w:type="paragraph" w:customStyle="1" w:styleId="CompanyBody">
    <w:name w:val="Company Body"/>
    <w:basedOn w:val="Normal"/>
    <w:link w:val="CompanyBodyChar"/>
    <w:autoRedefine/>
    <w:qFormat/>
    <w:rsid w:val="008873DB"/>
    <w:rPr>
      <w:rFonts w:ascii="Arial" w:hAnsi="Arial" w:cs="Arial"/>
    </w:rPr>
  </w:style>
  <w:style w:type="character" w:customStyle="1" w:styleId="CompanyBodyChar">
    <w:name w:val="Company Body Char"/>
    <w:basedOn w:val="DefaultParagraphFont"/>
    <w:link w:val="CompanyBody"/>
    <w:rsid w:val="008873DB"/>
    <w:rPr>
      <w:rFonts w:ascii="Arial" w:hAnsi="Arial" w:cs="Arial"/>
    </w:rPr>
  </w:style>
  <w:style w:type="paragraph" w:customStyle="1" w:styleId="CompanyHeading1">
    <w:name w:val="Company Heading 1"/>
    <w:basedOn w:val="Heading1"/>
    <w:link w:val="CompanyHeading1Char"/>
    <w:autoRedefine/>
    <w:qFormat/>
    <w:rsid w:val="008873DB"/>
    <w:rPr>
      <w:rFonts w:ascii="Atilla" w:hAnsi="Atilla"/>
    </w:rPr>
  </w:style>
  <w:style w:type="character" w:customStyle="1" w:styleId="Heading1Char">
    <w:name w:val="Heading 1 Char"/>
    <w:basedOn w:val="DefaultParagraphFont"/>
    <w:link w:val="Heading1"/>
    <w:uiPriority w:val="9"/>
    <w:rsid w:val="008873DB"/>
    <w:rPr>
      <w:rFonts w:asciiTheme="majorHAnsi" w:eastAsiaTheme="majorEastAsia" w:hAnsiTheme="majorHAnsi" w:cstheme="majorBidi"/>
      <w:b/>
      <w:bCs/>
      <w:color w:val="365F91" w:themeColor="accent1" w:themeShade="BF"/>
      <w:sz w:val="28"/>
      <w:szCs w:val="28"/>
    </w:rPr>
  </w:style>
  <w:style w:type="character" w:customStyle="1" w:styleId="CompanyHeading1Char">
    <w:name w:val="Company Heading 1 Char"/>
    <w:basedOn w:val="Heading1Char"/>
    <w:link w:val="CompanyHeading1"/>
    <w:rsid w:val="008873DB"/>
    <w:rPr>
      <w:rFonts w:ascii="Atilla" w:eastAsiaTheme="majorEastAsia" w:hAnsi="Atilla" w:cstheme="majorBidi"/>
      <w:b/>
      <w:bCs/>
      <w:color w:val="365F91" w:themeColor="accent1" w:themeShade="BF"/>
      <w:sz w:val="28"/>
      <w:szCs w:val="28"/>
    </w:rPr>
  </w:style>
  <w:style w:type="character" w:styleId="CommentReference">
    <w:name w:val="annotation reference"/>
    <w:basedOn w:val="DefaultParagraphFont"/>
    <w:uiPriority w:val="99"/>
    <w:rsid w:val="00F119E4"/>
    <w:rPr>
      <w:sz w:val="16"/>
      <w:szCs w:val="16"/>
    </w:rPr>
  </w:style>
  <w:style w:type="paragraph" w:styleId="CommentText">
    <w:name w:val="annotation text"/>
    <w:basedOn w:val="Normal"/>
    <w:link w:val="CommentTextChar"/>
    <w:uiPriority w:val="99"/>
    <w:semiHidden/>
    <w:rsid w:val="00F119E4"/>
  </w:style>
  <w:style w:type="character" w:customStyle="1" w:styleId="CommentTextChar">
    <w:name w:val="Comment Text Char"/>
    <w:basedOn w:val="DefaultParagraphFont"/>
    <w:link w:val="CommentText"/>
    <w:uiPriority w:val="99"/>
    <w:semiHidden/>
    <w:rsid w:val="00F119E4"/>
    <w:rPr>
      <w:rFonts w:ascii="Calibri" w:eastAsia="Times New Roman" w:hAnsi="Calibri" w:cs="Times New Roman"/>
      <w:sz w:val="20"/>
      <w:szCs w:val="20"/>
      <w:lang w:bidi="en-US"/>
    </w:rPr>
  </w:style>
  <w:style w:type="paragraph" w:styleId="BalloonText">
    <w:name w:val="Balloon Text"/>
    <w:basedOn w:val="Normal"/>
    <w:link w:val="BalloonTextChar"/>
    <w:uiPriority w:val="99"/>
    <w:semiHidden/>
    <w:unhideWhenUsed/>
    <w:rsid w:val="00F119E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9E4"/>
    <w:rPr>
      <w:rFonts w:ascii="Tahoma" w:eastAsia="Times New Roman" w:hAnsi="Tahoma" w:cs="Tahoma"/>
      <w:sz w:val="16"/>
      <w:szCs w:val="16"/>
      <w:lang w:bidi="en-US"/>
    </w:rPr>
  </w:style>
  <w:style w:type="paragraph" w:styleId="ListParagraph">
    <w:name w:val="List Paragraph"/>
    <w:basedOn w:val="Normal"/>
    <w:uiPriority w:val="99"/>
    <w:qFormat/>
    <w:rsid w:val="00EA0536"/>
    <w:pPr>
      <w:ind w:left="720"/>
      <w:contextualSpacing/>
    </w:pPr>
  </w:style>
  <w:style w:type="paragraph" w:customStyle="1" w:styleId="ScheduleL5">
    <w:name w:val="Schedule L5"/>
    <w:basedOn w:val="Normal"/>
    <w:rsid w:val="005232E6"/>
    <w:pPr>
      <w:numPr>
        <w:ilvl w:val="4"/>
        <w:numId w:val="4"/>
      </w:numPr>
      <w:spacing w:before="0" w:after="140" w:line="280" w:lineRule="atLeast"/>
      <w:outlineLvl w:val="4"/>
    </w:pPr>
    <w:rPr>
      <w:rFonts w:ascii="Times New Roman" w:hAnsi="Times New Roman" w:cs="Angsana New"/>
      <w:sz w:val="22"/>
      <w:szCs w:val="22"/>
      <w:lang w:eastAsia="zh-CN" w:bidi="th-TH"/>
    </w:rPr>
  </w:style>
  <w:style w:type="paragraph" w:customStyle="1" w:styleId="ScheduleL4">
    <w:name w:val="Schedule L4"/>
    <w:basedOn w:val="Normal"/>
    <w:rsid w:val="005232E6"/>
    <w:pPr>
      <w:numPr>
        <w:ilvl w:val="3"/>
        <w:numId w:val="4"/>
      </w:numPr>
      <w:spacing w:before="0" w:after="140" w:line="280" w:lineRule="atLeast"/>
      <w:outlineLvl w:val="3"/>
    </w:pPr>
    <w:rPr>
      <w:rFonts w:ascii="Times New Roman" w:hAnsi="Times New Roman" w:cs="Angsana New"/>
      <w:sz w:val="22"/>
      <w:szCs w:val="22"/>
      <w:lang w:eastAsia="zh-CN" w:bidi="th-TH"/>
    </w:rPr>
  </w:style>
  <w:style w:type="paragraph" w:customStyle="1" w:styleId="ScheduleL6">
    <w:name w:val="Schedule L6"/>
    <w:basedOn w:val="Normal"/>
    <w:rsid w:val="005232E6"/>
    <w:pPr>
      <w:numPr>
        <w:ilvl w:val="5"/>
        <w:numId w:val="4"/>
      </w:numPr>
      <w:spacing w:before="0" w:after="140" w:line="280" w:lineRule="atLeast"/>
      <w:outlineLvl w:val="5"/>
    </w:pPr>
    <w:rPr>
      <w:rFonts w:ascii="Times New Roman" w:hAnsi="Times New Roman" w:cs="Angsana New"/>
      <w:sz w:val="22"/>
      <w:szCs w:val="22"/>
      <w:lang w:eastAsia="zh-CN" w:bidi="th-TH"/>
    </w:rPr>
  </w:style>
  <w:style w:type="paragraph" w:customStyle="1" w:styleId="Default">
    <w:name w:val="Default"/>
    <w:rsid w:val="0065260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NLECHeading2">
    <w:name w:val="ANLEC Heading 2"/>
    <w:basedOn w:val="Normal"/>
    <w:qFormat/>
    <w:rsid w:val="00AA4993"/>
    <w:pPr>
      <w:autoSpaceDE w:val="0"/>
      <w:autoSpaceDN w:val="0"/>
      <w:adjustRightInd w:val="0"/>
      <w:spacing w:before="120" w:after="120"/>
      <w:contextualSpacing/>
      <w:jc w:val="both"/>
    </w:pPr>
    <w:rPr>
      <w:rFonts w:cs="Arial"/>
      <w:b/>
      <w:bCs/>
      <w:sz w:val="22"/>
      <w:szCs w:val="22"/>
      <w:u w:val="single"/>
      <w:lang w:eastAsia="en-AU" w:bidi="ar-SA"/>
    </w:rPr>
  </w:style>
  <w:style w:type="paragraph" w:styleId="CommentSubject">
    <w:name w:val="annotation subject"/>
    <w:basedOn w:val="CommentText"/>
    <w:next w:val="CommentText"/>
    <w:link w:val="CommentSubjectChar"/>
    <w:uiPriority w:val="99"/>
    <w:semiHidden/>
    <w:unhideWhenUsed/>
    <w:rsid w:val="002D254B"/>
    <w:pPr>
      <w:spacing w:line="240" w:lineRule="auto"/>
    </w:pPr>
    <w:rPr>
      <w:b/>
      <w:bCs/>
    </w:rPr>
  </w:style>
  <w:style w:type="character" w:customStyle="1" w:styleId="CommentSubjectChar">
    <w:name w:val="Comment Subject Char"/>
    <w:basedOn w:val="CommentTextChar"/>
    <w:link w:val="CommentSubject"/>
    <w:uiPriority w:val="99"/>
    <w:semiHidden/>
    <w:rsid w:val="002D254B"/>
    <w:rPr>
      <w:rFonts w:ascii="Calibri" w:eastAsia="Times New Roman" w:hAnsi="Calibri" w:cs="Times New Roman"/>
      <w:b/>
      <w:bCs/>
      <w:sz w:val="20"/>
      <w:szCs w:val="20"/>
      <w:lang w:bidi="en-US"/>
    </w:rPr>
  </w:style>
  <w:style w:type="character" w:customStyle="1" w:styleId="med11">
    <w:name w:val="med11"/>
    <w:basedOn w:val="DefaultParagraphFont"/>
    <w:rsid w:val="00D54E99"/>
    <w:rPr>
      <w:sz w:val="18"/>
      <w:szCs w:val="18"/>
    </w:rPr>
  </w:style>
  <w:style w:type="paragraph" w:customStyle="1" w:styleId="CTSCoBodytext">
    <w:name w:val="CTSCo Body text"/>
    <w:basedOn w:val="Normal"/>
    <w:link w:val="CTSCoBodytextChar"/>
    <w:autoRedefine/>
    <w:qFormat/>
    <w:rsid w:val="008702D1"/>
    <w:pPr>
      <w:spacing w:before="0" w:after="120" w:line="280" w:lineRule="atLeast"/>
    </w:pPr>
    <w:rPr>
      <w:rFonts w:ascii="Arial" w:eastAsiaTheme="minorHAnsi" w:hAnsi="Arial" w:cs="Arial"/>
      <w:noProof/>
      <w:szCs w:val="22"/>
      <w:lang w:val="en-US" w:bidi="ar-SA"/>
    </w:rPr>
  </w:style>
  <w:style w:type="character" w:customStyle="1" w:styleId="CTSCoBodytextChar">
    <w:name w:val="CTSCo Body text Char"/>
    <w:basedOn w:val="DefaultParagraphFont"/>
    <w:link w:val="CTSCoBodytext"/>
    <w:rsid w:val="008702D1"/>
    <w:rPr>
      <w:rFonts w:ascii="Arial" w:hAnsi="Arial" w:cs="Arial"/>
      <w:noProof/>
      <w:sz w:val="20"/>
      <w:lang w:val="en-US"/>
    </w:rPr>
  </w:style>
  <w:style w:type="character" w:customStyle="1" w:styleId="Heading3Char">
    <w:name w:val="Heading 3 Char"/>
    <w:basedOn w:val="DefaultParagraphFont"/>
    <w:link w:val="Heading3"/>
    <w:uiPriority w:val="9"/>
    <w:semiHidden/>
    <w:rsid w:val="008702D1"/>
    <w:rPr>
      <w:rFonts w:asciiTheme="majorHAnsi" w:eastAsiaTheme="majorEastAsia" w:hAnsiTheme="majorHAnsi" w:cstheme="majorBidi"/>
      <w:color w:val="243F60" w:themeColor="accent1" w:themeShade="7F"/>
      <w:sz w:val="24"/>
      <w:szCs w:val="24"/>
      <w:lang w:bidi="en-US"/>
    </w:rPr>
  </w:style>
  <w:style w:type="paragraph" w:customStyle="1" w:styleId="CTSCoBulletLevel1">
    <w:name w:val="CTSCo Bullet Level 1"/>
    <w:basedOn w:val="Normal"/>
    <w:link w:val="CTSCoBulletLevel1Char"/>
    <w:autoRedefine/>
    <w:qFormat/>
    <w:rsid w:val="008702D1"/>
    <w:pPr>
      <w:numPr>
        <w:numId w:val="38"/>
      </w:numPr>
      <w:spacing w:before="0" w:after="100" w:line="280" w:lineRule="atLeast"/>
      <w:ind w:left="357" w:hanging="357"/>
    </w:pPr>
    <w:rPr>
      <w:rFonts w:ascii="Arial" w:eastAsiaTheme="minorHAnsi" w:hAnsi="Arial" w:cs="Arial"/>
      <w:szCs w:val="22"/>
      <w:lang w:val="en-US"/>
    </w:rPr>
  </w:style>
  <w:style w:type="character" w:customStyle="1" w:styleId="CTSCoBulletLevel1Char">
    <w:name w:val="CTSCo Bullet Level 1 Char"/>
    <w:basedOn w:val="DefaultParagraphFont"/>
    <w:link w:val="CTSCoBulletLevel1"/>
    <w:rsid w:val="008702D1"/>
    <w:rPr>
      <w:rFonts w:ascii="Arial" w:hAnsi="Arial" w:cs="Arial"/>
      <w:sz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73416">
      <w:bodyDiv w:val="1"/>
      <w:marLeft w:val="0"/>
      <w:marRight w:val="0"/>
      <w:marTop w:val="0"/>
      <w:marBottom w:val="0"/>
      <w:divBdr>
        <w:top w:val="none" w:sz="0" w:space="0" w:color="auto"/>
        <w:left w:val="none" w:sz="0" w:space="0" w:color="auto"/>
        <w:bottom w:val="none" w:sz="0" w:space="0" w:color="auto"/>
        <w:right w:val="none" w:sz="0" w:space="0" w:color="auto"/>
      </w:divBdr>
    </w:div>
    <w:div w:id="200288158">
      <w:bodyDiv w:val="1"/>
      <w:marLeft w:val="0"/>
      <w:marRight w:val="0"/>
      <w:marTop w:val="0"/>
      <w:marBottom w:val="0"/>
      <w:divBdr>
        <w:top w:val="none" w:sz="0" w:space="0" w:color="auto"/>
        <w:left w:val="none" w:sz="0" w:space="0" w:color="auto"/>
        <w:bottom w:val="none" w:sz="0" w:space="0" w:color="auto"/>
        <w:right w:val="none" w:sz="0" w:space="0" w:color="auto"/>
      </w:divBdr>
    </w:div>
    <w:div w:id="242761832">
      <w:bodyDiv w:val="1"/>
      <w:marLeft w:val="0"/>
      <w:marRight w:val="0"/>
      <w:marTop w:val="0"/>
      <w:marBottom w:val="0"/>
      <w:divBdr>
        <w:top w:val="none" w:sz="0" w:space="0" w:color="auto"/>
        <w:left w:val="none" w:sz="0" w:space="0" w:color="auto"/>
        <w:bottom w:val="none" w:sz="0" w:space="0" w:color="auto"/>
        <w:right w:val="none" w:sz="0" w:space="0" w:color="auto"/>
      </w:divBdr>
    </w:div>
    <w:div w:id="445582405">
      <w:bodyDiv w:val="1"/>
      <w:marLeft w:val="0"/>
      <w:marRight w:val="0"/>
      <w:marTop w:val="0"/>
      <w:marBottom w:val="0"/>
      <w:divBdr>
        <w:top w:val="none" w:sz="0" w:space="0" w:color="auto"/>
        <w:left w:val="none" w:sz="0" w:space="0" w:color="auto"/>
        <w:bottom w:val="none" w:sz="0" w:space="0" w:color="auto"/>
        <w:right w:val="none" w:sz="0" w:space="0" w:color="auto"/>
      </w:divBdr>
    </w:div>
    <w:div w:id="559905678">
      <w:bodyDiv w:val="1"/>
      <w:marLeft w:val="0"/>
      <w:marRight w:val="0"/>
      <w:marTop w:val="0"/>
      <w:marBottom w:val="0"/>
      <w:divBdr>
        <w:top w:val="none" w:sz="0" w:space="0" w:color="auto"/>
        <w:left w:val="none" w:sz="0" w:space="0" w:color="auto"/>
        <w:bottom w:val="none" w:sz="0" w:space="0" w:color="auto"/>
        <w:right w:val="none" w:sz="0" w:space="0" w:color="auto"/>
      </w:divBdr>
    </w:div>
    <w:div w:id="675957454">
      <w:bodyDiv w:val="1"/>
      <w:marLeft w:val="0"/>
      <w:marRight w:val="0"/>
      <w:marTop w:val="0"/>
      <w:marBottom w:val="0"/>
      <w:divBdr>
        <w:top w:val="none" w:sz="0" w:space="0" w:color="auto"/>
        <w:left w:val="none" w:sz="0" w:space="0" w:color="auto"/>
        <w:bottom w:val="none" w:sz="0" w:space="0" w:color="auto"/>
        <w:right w:val="none" w:sz="0" w:space="0" w:color="auto"/>
      </w:divBdr>
    </w:div>
    <w:div w:id="679312490">
      <w:bodyDiv w:val="1"/>
      <w:marLeft w:val="0"/>
      <w:marRight w:val="0"/>
      <w:marTop w:val="0"/>
      <w:marBottom w:val="0"/>
      <w:divBdr>
        <w:top w:val="none" w:sz="0" w:space="0" w:color="auto"/>
        <w:left w:val="none" w:sz="0" w:space="0" w:color="auto"/>
        <w:bottom w:val="none" w:sz="0" w:space="0" w:color="auto"/>
        <w:right w:val="none" w:sz="0" w:space="0" w:color="auto"/>
      </w:divBdr>
    </w:div>
    <w:div w:id="791707638">
      <w:bodyDiv w:val="1"/>
      <w:marLeft w:val="0"/>
      <w:marRight w:val="0"/>
      <w:marTop w:val="0"/>
      <w:marBottom w:val="0"/>
      <w:divBdr>
        <w:top w:val="none" w:sz="0" w:space="0" w:color="auto"/>
        <w:left w:val="none" w:sz="0" w:space="0" w:color="auto"/>
        <w:bottom w:val="none" w:sz="0" w:space="0" w:color="auto"/>
        <w:right w:val="none" w:sz="0" w:space="0" w:color="auto"/>
      </w:divBdr>
    </w:div>
    <w:div w:id="885221932">
      <w:bodyDiv w:val="1"/>
      <w:marLeft w:val="0"/>
      <w:marRight w:val="0"/>
      <w:marTop w:val="0"/>
      <w:marBottom w:val="0"/>
      <w:divBdr>
        <w:top w:val="none" w:sz="0" w:space="0" w:color="auto"/>
        <w:left w:val="none" w:sz="0" w:space="0" w:color="auto"/>
        <w:bottom w:val="none" w:sz="0" w:space="0" w:color="auto"/>
        <w:right w:val="none" w:sz="0" w:space="0" w:color="auto"/>
      </w:divBdr>
    </w:div>
    <w:div w:id="1025910266">
      <w:bodyDiv w:val="1"/>
      <w:marLeft w:val="0"/>
      <w:marRight w:val="0"/>
      <w:marTop w:val="0"/>
      <w:marBottom w:val="0"/>
      <w:divBdr>
        <w:top w:val="none" w:sz="0" w:space="0" w:color="auto"/>
        <w:left w:val="none" w:sz="0" w:space="0" w:color="auto"/>
        <w:bottom w:val="none" w:sz="0" w:space="0" w:color="auto"/>
        <w:right w:val="none" w:sz="0" w:space="0" w:color="auto"/>
      </w:divBdr>
    </w:div>
    <w:div w:id="1084572155">
      <w:bodyDiv w:val="1"/>
      <w:marLeft w:val="0"/>
      <w:marRight w:val="0"/>
      <w:marTop w:val="0"/>
      <w:marBottom w:val="0"/>
      <w:divBdr>
        <w:top w:val="none" w:sz="0" w:space="0" w:color="auto"/>
        <w:left w:val="none" w:sz="0" w:space="0" w:color="auto"/>
        <w:bottom w:val="none" w:sz="0" w:space="0" w:color="auto"/>
        <w:right w:val="none" w:sz="0" w:space="0" w:color="auto"/>
      </w:divBdr>
    </w:div>
    <w:div w:id="1199274855">
      <w:bodyDiv w:val="1"/>
      <w:marLeft w:val="0"/>
      <w:marRight w:val="0"/>
      <w:marTop w:val="0"/>
      <w:marBottom w:val="0"/>
      <w:divBdr>
        <w:top w:val="none" w:sz="0" w:space="0" w:color="auto"/>
        <w:left w:val="none" w:sz="0" w:space="0" w:color="auto"/>
        <w:bottom w:val="none" w:sz="0" w:space="0" w:color="auto"/>
        <w:right w:val="none" w:sz="0" w:space="0" w:color="auto"/>
      </w:divBdr>
    </w:div>
    <w:div w:id="1251114482">
      <w:bodyDiv w:val="1"/>
      <w:marLeft w:val="0"/>
      <w:marRight w:val="0"/>
      <w:marTop w:val="0"/>
      <w:marBottom w:val="0"/>
      <w:divBdr>
        <w:top w:val="none" w:sz="0" w:space="0" w:color="auto"/>
        <w:left w:val="none" w:sz="0" w:space="0" w:color="auto"/>
        <w:bottom w:val="none" w:sz="0" w:space="0" w:color="auto"/>
        <w:right w:val="none" w:sz="0" w:space="0" w:color="auto"/>
      </w:divBdr>
    </w:div>
    <w:div w:id="1667441234">
      <w:bodyDiv w:val="1"/>
      <w:marLeft w:val="0"/>
      <w:marRight w:val="0"/>
      <w:marTop w:val="0"/>
      <w:marBottom w:val="0"/>
      <w:divBdr>
        <w:top w:val="none" w:sz="0" w:space="0" w:color="auto"/>
        <w:left w:val="none" w:sz="0" w:space="0" w:color="auto"/>
        <w:bottom w:val="none" w:sz="0" w:space="0" w:color="auto"/>
        <w:right w:val="none" w:sz="0" w:space="0" w:color="auto"/>
      </w:divBdr>
    </w:div>
    <w:div w:id="1716538831">
      <w:bodyDiv w:val="1"/>
      <w:marLeft w:val="0"/>
      <w:marRight w:val="0"/>
      <w:marTop w:val="0"/>
      <w:marBottom w:val="0"/>
      <w:divBdr>
        <w:top w:val="none" w:sz="0" w:space="0" w:color="auto"/>
        <w:left w:val="none" w:sz="0" w:space="0" w:color="auto"/>
        <w:bottom w:val="none" w:sz="0" w:space="0" w:color="auto"/>
        <w:right w:val="none" w:sz="0" w:space="0" w:color="auto"/>
      </w:divBdr>
    </w:div>
    <w:div w:id="1743209622">
      <w:bodyDiv w:val="1"/>
      <w:marLeft w:val="0"/>
      <w:marRight w:val="0"/>
      <w:marTop w:val="0"/>
      <w:marBottom w:val="0"/>
      <w:divBdr>
        <w:top w:val="none" w:sz="0" w:space="0" w:color="auto"/>
        <w:left w:val="none" w:sz="0" w:space="0" w:color="auto"/>
        <w:bottom w:val="none" w:sz="0" w:space="0" w:color="auto"/>
        <w:right w:val="none" w:sz="0" w:space="0" w:color="auto"/>
      </w:divBdr>
    </w:div>
    <w:div w:id="1810703985">
      <w:bodyDiv w:val="1"/>
      <w:marLeft w:val="0"/>
      <w:marRight w:val="0"/>
      <w:marTop w:val="0"/>
      <w:marBottom w:val="0"/>
      <w:divBdr>
        <w:top w:val="none" w:sz="0" w:space="0" w:color="auto"/>
        <w:left w:val="none" w:sz="0" w:space="0" w:color="auto"/>
        <w:bottom w:val="none" w:sz="0" w:space="0" w:color="auto"/>
        <w:right w:val="none" w:sz="0" w:space="0" w:color="auto"/>
      </w:divBdr>
    </w:div>
    <w:div w:id="1846088418">
      <w:bodyDiv w:val="1"/>
      <w:marLeft w:val="0"/>
      <w:marRight w:val="0"/>
      <w:marTop w:val="0"/>
      <w:marBottom w:val="0"/>
      <w:divBdr>
        <w:top w:val="none" w:sz="0" w:space="0" w:color="auto"/>
        <w:left w:val="none" w:sz="0" w:space="0" w:color="auto"/>
        <w:bottom w:val="none" w:sz="0" w:space="0" w:color="auto"/>
        <w:right w:val="none" w:sz="0" w:space="0" w:color="auto"/>
      </w:divBdr>
    </w:div>
    <w:div w:id="1877159725">
      <w:bodyDiv w:val="1"/>
      <w:marLeft w:val="0"/>
      <w:marRight w:val="0"/>
      <w:marTop w:val="0"/>
      <w:marBottom w:val="0"/>
      <w:divBdr>
        <w:top w:val="none" w:sz="0" w:space="0" w:color="auto"/>
        <w:left w:val="none" w:sz="0" w:space="0" w:color="auto"/>
        <w:bottom w:val="none" w:sz="0" w:space="0" w:color="auto"/>
        <w:right w:val="none" w:sz="0" w:space="0" w:color="auto"/>
      </w:divBdr>
    </w:div>
    <w:div w:id="2045014832">
      <w:bodyDiv w:val="1"/>
      <w:marLeft w:val="0"/>
      <w:marRight w:val="0"/>
      <w:marTop w:val="0"/>
      <w:marBottom w:val="0"/>
      <w:divBdr>
        <w:top w:val="none" w:sz="0" w:space="0" w:color="auto"/>
        <w:left w:val="none" w:sz="0" w:space="0" w:color="auto"/>
        <w:bottom w:val="none" w:sz="0" w:space="0" w:color="auto"/>
        <w:right w:val="none" w:sz="0" w:space="0" w:color="auto"/>
      </w:divBdr>
    </w:div>
    <w:div w:id="204964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CF181-0E3C-4894-B2CE-A436BB64E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Schlumberger</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lauren.estabillo</dc:creator>
  <cp:lastModifiedBy>Stephanie Tyiasning</cp:lastModifiedBy>
  <cp:revision>2</cp:revision>
  <cp:lastPrinted>2015-08-24T00:37:00Z</cp:lastPrinted>
  <dcterms:created xsi:type="dcterms:W3CDTF">2018-09-17T03:13:00Z</dcterms:created>
  <dcterms:modified xsi:type="dcterms:W3CDTF">2018-09-17T03:13:00Z</dcterms:modified>
</cp:coreProperties>
</file>