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48AA2"/>
        <w:tblLook w:val="04A0" w:firstRow="1" w:lastRow="0" w:firstColumn="1" w:lastColumn="0" w:noHBand="0" w:noVBand="1"/>
      </w:tblPr>
      <w:tblGrid>
        <w:gridCol w:w="1667"/>
        <w:gridCol w:w="4603"/>
        <w:gridCol w:w="2549"/>
        <w:gridCol w:w="1215"/>
      </w:tblGrid>
      <w:tr w:rsidR="00D54EF8" w:rsidRPr="00380024" w14:paraId="4F8C5C8E" w14:textId="77777777" w:rsidTr="00D54EF8">
        <w:trPr>
          <w:trHeight w:val="567"/>
        </w:trPr>
        <w:tc>
          <w:tcPr>
            <w:tcW w:w="1667" w:type="dxa"/>
            <w:shd w:val="clear" w:color="auto" w:fill="348AA2"/>
            <w:vAlign w:val="center"/>
          </w:tcPr>
          <w:p w14:paraId="4555EBA8" w14:textId="77777777" w:rsidR="00D54EF8" w:rsidRPr="00380024" w:rsidRDefault="00D54EF8" w:rsidP="00D54EF8">
            <w:pPr>
              <w:spacing w:before="0" w:after="0" w:line="240" w:lineRule="auto"/>
              <w:jc w:val="both"/>
              <w:rPr>
                <w:rFonts w:ascii="Arial" w:hAnsi="Arial"/>
                <w:b/>
                <w:color w:val="FFFFFF" w:themeColor="background1"/>
              </w:rPr>
            </w:pPr>
            <w:r w:rsidRPr="00380024">
              <w:rPr>
                <w:rFonts w:ascii="Arial" w:hAnsi="Arial"/>
                <w:b/>
                <w:color w:val="FFFFFF" w:themeColor="background1"/>
              </w:rPr>
              <w:t xml:space="preserve">PROJECT: </w:t>
            </w:r>
          </w:p>
        </w:tc>
        <w:tc>
          <w:tcPr>
            <w:tcW w:w="8367" w:type="dxa"/>
            <w:gridSpan w:val="3"/>
            <w:shd w:val="clear" w:color="auto" w:fill="348AA2"/>
            <w:vAlign w:val="center"/>
          </w:tcPr>
          <w:p w14:paraId="0C3E5D42" w14:textId="2DDAB17C" w:rsidR="00D54EF8" w:rsidRPr="00380024" w:rsidRDefault="00D54EF8" w:rsidP="00D54EF8">
            <w:pPr>
              <w:spacing w:before="0" w:after="0" w:line="240" w:lineRule="auto"/>
              <w:jc w:val="both"/>
              <w:rPr>
                <w:rFonts w:ascii="Arial" w:hAnsi="Arial"/>
                <w:b/>
                <w:color w:val="FFFFFF" w:themeColor="background1"/>
              </w:rPr>
            </w:pPr>
            <w:r>
              <w:rPr>
                <w:rFonts w:ascii="Arial" w:hAnsi="Arial"/>
                <w:b/>
                <w:color w:val="FFFFFF" w:themeColor="background1"/>
              </w:rPr>
              <w:t>Testing two depo-</w:t>
            </w:r>
            <w:proofErr w:type="spellStart"/>
            <w:r>
              <w:rPr>
                <w:rFonts w:ascii="Arial" w:hAnsi="Arial"/>
                <w:b/>
                <w:color w:val="FFFFFF" w:themeColor="background1"/>
              </w:rPr>
              <w:t>centre</w:t>
            </w:r>
            <w:proofErr w:type="spellEnd"/>
            <w:r>
              <w:rPr>
                <w:rFonts w:ascii="Arial" w:hAnsi="Arial"/>
                <w:b/>
                <w:color w:val="FFFFFF" w:themeColor="background1"/>
              </w:rPr>
              <w:t xml:space="preserve"> hypothesis of North and South Surat concept</w:t>
            </w:r>
          </w:p>
        </w:tc>
      </w:tr>
      <w:tr w:rsidR="00D54EF8" w:rsidRPr="00380024" w14:paraId="6738D942" w14:textId="77777777" w:rsidTr="00D54EF8">
        <w:trPr>
          <w:trHeight w:val="345"/>
        </w:trPr>
        <w:tc>
          <w:tcPr>
            <w:tcW w:w="1667" w:type="dxa"/>
            <w:shd w:val="clear" w:color="auto" w:fill="348AA2"/>
          </w:tcPr>
          <w:p w14:paraId="56C79A89"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Demonstration</w:t>
            </w:r>
          </w:p>
        </w:tc>
        <w:tc>
          <w:tcPr>
            <w:tcW w:w="4603" w:type="dxa"/>
            <w:shd w:val="clear" w:color="auto" w:fill="348AA2"/>
          </w:tcPr>
          <w:p w14:paraId="428069A3" w14:textId="77777777" w:rsidR="00D54EF8" w:rsidRPr="00380024" w:rsidRDefault="00D54EF8" w:rsidP="00D54EF8">
            <w:pPr>
              <w:spacing w:before="0" w:after="0" w:line="240" w:lineRule="auto"/>
              <w:jc w:val="both"/>
              <w:rPr>
                <w:rFonts w:ascii="Arial" w:hAnsi="Arial"/>
                <w:color w:val="FFFFFF" w:themeColor="background1"/>
              </w:rPr>
            </w:pPr>
            <w:proofErr w:type="spellStart"/>
            <w:r w:rsidRPr="00380024">
              <w:rPr>
                <w:rFonts w:ascii="Arial" w:hAnsi="Arial"/>
                <w:color w:val="FFFFFF" w:themeColor="background1"/>
              </w:rPr>
              <w:t>CTSCo</w:t>
            </w:r>
            <w:proofErr w:type="spellEnd"/>
          </w:p>
        </w:tc>
        <w:tc>
          <w:tcPr>
            <w:tcW w:w="2549" w:type="dxa"/>
            <w:shd w:val="clear" w:color="auto" w:fill="348AA2"/>
          </w:tcPr>
          <w:p w14:paraId="53617352"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Commencement</w:t>
            </w:r>
          </w:p>
        </w:tc>
        <w:tc>
          <w:tcPr>
            <w:tcW w:w="1215" w:type="dxa"/>
            <w:shd w:val="clear" w:color="auto" w:fill="348AA2"/>
          </w:tcPr>
          <w:p w14:paraId="5C91FA36"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2020</w:t>
            </w:r>
          </w:p>
        </w:tc>
      </w:tr>
      <w:tr w:rsidR="00D54EF8" w:rsidRPr="00380024" w14:paraId="7736E218" w14:textId="77777777" w:rsidTr="00D54EF8">
        <w:trPr>
          <w:trHeight w:val="322"/>
        </w:trPr>
        <w:tc>
          <w:tcPr>
            <w:tcW w:w="1667" w:type="dxa"/>
            <w:shd w:val="clear" w:color="auto" w:fill="348AA2"/>
          </w:tcPr>
          <w:p w14:paraId="0AF3AB8C"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Project Leader</w:t>
            </w:r>
          </w:p>
        </w:tc>
        <w:tc>
          <w:tcPr>
            <w:tcW w:w="4603" w:type="dxa"/>
            <w:shd w:val="clear" w:color="auto" w:fill="348AA2"/>
          </w:tcPr>
          <w:p w14:paraId="4108C2EC" w14:textId="77777777" w:rsidR="00D54EF8" w:rsidRPr="00380024" w:rsidRDefault="00D54EF8" w:rsidP="00D54EF8">
            <w:pPr>
              <w:spacing w:before="0" w:after="0" w:line="240" w:lineRule="auto"/>
              <w:jc w:val="both"/>
              <w:rPr>
                <w:rFonts w:ascii="Arial" w:hAnsi="Arial"/>
                <w:color w:val="FFFFFF" w:themeColor="background1"/>
              </w:rPr>
            </w:pPr>
          </w:p>
        </w:tc>
        <w:tc>
          <w:tcPr>
            <w:tcW w:w="2549" w:type="dxa"/>
            <w:shd w:val="clear" w:color="auto" w:fill="348AA2"/>
          </w:tcPr>
          <w:p w14:paraId="082A9FE5"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Completion</w:t>
            </w:r>
          </w:p>
        </w:tc>
        <w:tc>
          <w:tcPr>
            <w:tcW w:w="1215" w:type="dxa"/>
            <w:shd w:val="clear" w:color="auto" w:fill="348AA2"/>
          </w:tcPr>
          <w:p w14:paraId="6644C498" w14:textId="77777777" w:rsidR="00D54EF8" w:rsidRPr="00380024" w:rsidRDefault="00D54EF8" w:rsidP="00D54EF8">
            <w:pPr>
              <w:spacing w:before="0" w:after="0" w:line="240" w:lineRule="auto"/>
              <w:jc w:val="both"/>
              <w:rPr>
                <w:rFonts w:ascii="Arial" w:hAnsi="Arial"/>
                <w:color w:val="FFFFFF" w:themeColor="background1"/>
              </w:rPr>
            </w:pPr>
          </w:p>
        </w:tc>
      </w:tr>
      <w:tr w:rsidR="00D54EF8" w:rsidRPr="00380024" w14:paraId="5449B19C" w14:textId="77777777" w:rsidTr="00D54EF8">
        <w:trPr>
          <w:trHeight w:val="345"/>
        </w:trPr>
        <w:tc>
          <w:tcPr>
            <w:tcW w:w="1667" w:type="dxa"/>
            <w:shd w:val="clear" w:color="auto" w:fill="348AA2"/>
          </w:tcPr>
          <w:p w14:paraId="0F8C9B9F"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Project Number</w:t>
            </w:r>
          </w:p>
        </w:tc>
        <w:tc>
          <w:tcPr>
            <w:tcW w:w="4603" w:type="dxa"/>
            <w:shd w:val="clear" w:color="auto" w:fill="348AA2"/>
          </w:tcPr>
          <w:p w14:paraId="203AE1A1" w14:textId="77777777" w:rsidR="00D54EF8" w:rsidRPr="00380024" w:rsidRDefault="00D54EF8" w:rsidP="00D54EF8">
            <w:pPr>
              <w:spacing w:before="0" w:after="0" w:line="240" w:lineRule="auto"/>
              <w:jc w:val="both"/>
              <w:rPr>
                <w:rFonts w:ascii="Arial" w:hAnsi="Arial"/>
                <w:color w:val="FFFFFF" w:themeColor="background1"/>
              </w:rPr>
            </w:pPr>
          </w:p>
        </w:tc>
        <w:tc>
          <w:tcPr>
            <w:tcW w:w="2549" w:type="dxa"/>
            <w:shd w:val="clear" w:color="auto" w:fill="348AA2"/>
          </w:tcPr>
          <w:p w14:paraId="0DEEA02E"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Total Budget</w:t>
            </w:r>
          </w:p>
        </w:tc>
        <w:tc>
          <w:tcPr>
            <w:tcW w:w="1215" w:type="dxa"/>
            <w:shd w:val="clear" w:color="auto" w:fill="348AA2"/>
          </w:tcPr>
          <w:p w14:paraId="1683AB27" w14:textId="77777777" w:rsidR="00D54EF8" w:rsidRPr="00380024" w:rsidRDefault="00D54EF8" w:rsidP="00D54EF8">
            <w:pPr>
              <w:spacing w:before="0" w:after="0" w:line="240" w:lineRule="auto"/>
              <w:jc w:val="both"/>
              <w:rPr>
                <w:rFonts w:ascii="Arial" w:hAnsi="Arial"/>
                <w:color w:val="FFFFFF" w:themeColor="background1"/>
              </w:rPr>
            </w:pPr>
          </w:p>
        </w:tc>
      </w:tr>
      <w:tr w:rsidR="00D54EF8" w:rsidRPr="00380024" w14:paraId="2D2C7872" w14:textId="77777777" w:rsidTr="00D54EF8">
        <w:trPr>
          <w:trHeight w:val="345"/>
        </w:trPr>
        <w:tc>
          <w:tcPr>
            <w:tcW w:w="1667" w:type="dxa"/>
            <w:shd w:val="clear" w:color="auto" w:fill="348AA2"/>
          </w:tcPr>
          <w:p w14:paraId="2A2FA196"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Status</w:t>
            </w:r>
          </w:p>
        </w:tc>
        <w:tc>
          <w:tcPr>
            <w:tcW w:w="4603" w:type="dxa"/>
            <w:shd w:val="clear" w:color="auto" w:fill="348AA2"/>
          </w:tcPr>
          <w:p w14:paraId="0056D143"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Under Development</w:t>
            </w:r>
          </w:p>
        </w:tc>
        <w:tc>
          <w:tcPr>
            <w:tcW w:w="2549" w:type="dxa"/>
            <w:shd w:val="clear" w:color="auto" w:fill="348AA2"/>
          </w:tcPr>
          <w:p w14:paraId="1DA69BAF" w14:textId="77777777" w:rsidR="00D54EF8" w:rsidRPr="00380024" w:rsidRDefault="00D54EF8" w:rsidP="00D54EF8">
            <w:pPr>
              <w:spacing w:before="0" w:after="0" w:line="240" w:lineRule="auto"/>
              <w:jc w:val="both"/>
              <w:rPr>
                <w:rFonts w:ascii="Arial" w:hAnsi="Arial"/>
                <w:color w:val="FFFFFF" w:themeColor="background1"/>
              </w:rPr>
            </w:pPr>
            <w:r w:rsidRPr="00380024">
              <w:rPr>
                <w:rFonts w:ascii="Arial" w:hAnsi="Arial"/>
                <w:color w:val="FFFFFF" w:themeColor="background1"/>
              </w:rPr>
              <w:t>ANLEC R&amp;D Contribution</w:t>
            </w:r>
          </w:p>
        </w:tc>
        <w:tc>
          <w:tcPr>
            <w:tcW w:w="1215" w:type="dxa"/>
            <w:shd w:val="clear" w:color="auto" w:fill="348AA2"/>
          </w:tcPr>
          <w:p w14:paraId="1BAF3FBA" w14:textId="77777777" w:rsidR="00D54EF8" w:rsidRPr="00380024" w:rsidRDefault="00D54EF8" w:rsidP="00D54EF8">
            <w:pPr>
              <w:spacing w:before="0" w:after="0" w:line="240" w:lineRule="auto"/>
              <w:jc w:val="both"/>
              <w:rPr>
                <w:rFonts w:ascii="Arial" w:hAnsi="Arial"/>
                <w:color w:val="FFFFFF" w:themeColor="background1"/>
              </w:rPr>
            </w:pPr>
          </w:p>
        </w:tc>
      </w:tr>
    </w:tbl>
    <w:p w14:paraId="719156AA" w14:textId="38601DED" w:rsidR="0096135C" w:rsidRDefault="0096135C" w:rsidP="00D54EF8">
      <w:pPr>
        <w:spacing w:after="0" w:line="240" w:lineRule="auto"/>
        <w:ind w:left="284"/>
        <w:jc w:val="both"/>
        <w:rPr>
          <w:rFonts w:ascii="Arial" w:hAnsi="Arial" w:cs="Arial"/>
          <w:b/>
          <w:i/>
          <w:color w:val="31849B"/>
        </w:rPr>
      </w:pPr>
      <w:r w:rsidRPr="00D56941">
        <w:rPr>
          <w:rFonts w:ascii="Arial" w:hAnsi="Arial" w:cs="Arial"/>
          <w:b/>
          <w:i/>
          <w:color w:val="31849B"/>
        </w:rPr>
        <w:t>The Context</w:t>
      </w:r>
    </w:p>
    <w:p w14:paraId="40DF3F98" w14:textId="3614B963" w:rsidR="00B5179E" w:rsidRPr="00D54EF8" w:rsidRDefault="00B5179E" w:rsidP="00D54EF8">
      <w:pPr>
        <w:ind w:left="284" w:right="260"/>
        <w:jc w:val="both"/>
        <w:rPr>
          <w:rFonts w:ascii="Arial" w:hAnsi="Arial" w:cs="Arial"/>
        </w:rPr>
      </w:pPr>
      <w:r w:rsidRPr="00D54EF8">
        <w:rPr>
          <w:rFonts w:ascii="Arial" w:hAnsi="Arial" w:cs="Arial"/>
        </w:rPr>
        <w:t xml:space="preserve">The Surat Basin represents a highly prospective area for GHG storage in Eastern Australia, with a thick, relatively undisturbed sedimentary sequence providing large potential storage volume adjacent to major emission sources from coal-fired power stations. The Southern Surat is the preferred location for upscaled storage trials, as the primary Precipice storage reservoir </w:t>
      </w:r>
      <w:r w:rsidR="0022511B">
        <w:rPr>
          <w:rFonts w:ascii="Arial" w:hAnsi="Arial" w:cs="Arial"/>
        </w:rPr>
        <w:t>is</w:t>
      </w:r>
      <w:r w:rsidRPr="00D54EF8">
        <w:rPr>
          <w:rFonts w:ascii="Arial" w:hAnsi="Arial" w:cs="Arial"/>
        </w:rPr>
        <w:t xml:space="preserve"> deeper (&gt;2000 m) and expected to exhibit higher-salinity groundwater chemistry than the Northern Surat. </w:t>
      </w:r>
      <w:proofErr w:type="spellStart"/>
      <w:r w:rsidRPr="00D54EF8">
        <w:rPr>
          <w:rFonts w:ascii="Arial" w:hAnsi="Arial" w:cs="Arial"/>
        </w:rPr>
        <w:t>CTSCo</w:t>
      </w:r>
      <w:proofErr w:type="spellEnd"/>
      <w:r w:rsidRPr="00D54EF8">
        <w:rPr>
          <w:rFonts w:ascii="Arial" w:hAnsi="Arial" w:cs="Arial"/>
        </w:rPr>
        <w:t xml:space="preserve"> is planning to drill two wells in 2020-21 to prove up the storage </w:t>
      </w:r>
      <w:proofErr w:type="spellStart"/>
      <w:r w:rsidRPr="00D54EF8">
        <w:rPr>
          <w:rFonts w:ascii="Arial" w:hAnsi="Arial" w:cs="Arial"/>
        </w:rPr>
        <w:t>prospectivity</w:t>
      </w:r>
      <w:proofErr w:type="spellEnd"/>
      <w:r w:rsidRPr="00D54EF8">
        <w:rPr>
          <w:rFonts w:ascii="Arial" w:hAnsi="Arial" w:cs="Arial"/>
        </w:rPr>
        <w:t xml:space="preserve"> in EPQ10. The UQ SDAAP project studied all available regional information available on the Precipice Sandstone regionally across the Surat Basin.</w:t>
      </w:r>
      <w:r w:rsidR="00D54EF8">
        <w:rPr>
          <w:rFonts w:ascii="Arial" w:hAnsi="Arial" w:cs="Arial"/>
        </w:rPr>
        <w:t xml:space="preserve"> </w:t>
      </w:r>
      <w:r w:rsidRPr="00D54EF8">
        <w:rPr>
          <w:rFonts w:ascii="Arial" w:hAnsi="Arial" w:cs="Arial"/>
        </w:rPr>
        <w:t>Several lines of evidence (seismic, sedimentological, core, well test, petrophysics, hydrodynamics) were used to deve</w:t>
      </w:r>
      <w:bookmarkStart w:id="0" w:name="_GoBack"/>
      <w:bookmarkEnd w:id="0"/>
      <w:r w:rsidRPr="00D54EF8">
        <w:rPr>
          <w:rFonts w:ascii="Arial" w:hAnsi="Arial" w:cs="Arial"/>
        </w:rPr>
        <w:t xml:space="preserve">lop a hypothesis that there is a northern and southern depo centre for the Precipice Sandstone separated by an east west trending area of thin </w:t>
      </w:r>
      <w:proofErr w:type="spellStart"/>
      <w:r w:rsidRPr="00D54EF8">
        <w:rPr>
          <w:rFonts w:ascii="Arial" w:hAnsi="Arial" w:cs="Arial"/>
        </w:rPr>
        <w:t>isocore</w:t>
      </w:r>
      <w:proofErr w:type="spellEnd"/>
      <w:r w:rsidRPr="00D54EF8">
        <w:rPr>
          <w:rFonts w:ascii="Arial" w:hAnsi="Arial" w:cs="Arial"/>
        </w:rPr>
        <w:t xml:space="preserve"> (EPQ7 occurring in the northern depo centre and EPQ10 occurring in the southern depo centre).  Each of these depo</w:t>
      </w:r>
      <w:r w:rsidR="0029281E">
        <w:rPr>
          <w:rFonts w:ascii="Arial" w:hAnsi="Arial" w:cs="Arial"/>
        </w:rPr>
        <w:t>-</w:t>
      </w:r>
      <w:r w:rsidRPr="00D54EF8">
        <w:rPr>
          <w:rFonts w:ascii="Arial" w:hAnsi="Arial" w:cs="Arial"/>
        </w:rPr>
        <w:t>centres is postulated to be fed by different fluvial deltaic sources and that this results in different characteristic porosity depth trends and different porosity to permeability transforms being representative for each of the two depo systems.  The likelihood of this hypothesis being true or false has implications for the best strategy of parameterizing a static and dynamic reservoir model in EPQ10. Data from the first data well in EPQ10 (petrophysical logs and core) could help test this hypothesis and reduce uncertainty in determining the best approach to parameterization and upscaling the EPQ10 static and dynamic models.  As a result, this could alter the estimate of optimal distance between the first and second data wells.</w:t>
      </w:r>
    </w:p>
    <w:p w14:paraId="186D7C6B" w14:textId="3B163683" w:rsidR="000915ED" w:rsidRPr="00D56941" w:rsidRDefault="000915ED" w:rsidP="00D54EF8">
      <w:pPr>
        <w:spacing w:before="120" w:after="80"/>
        <w:ind w:left="284" w:right="260"/>
        <w:jc w:val="both"/>
        <w:rPr>
          <w:rFonts w:ascii="Arial" w:hAnsi="Arial" w:cs="Arial"/>
          <w:b/>
          <w:i/>
          <w:color w:val="31849B"/>
        </w:rPr>
      </w:pPr>
      <w:r w:rsidRPr="00D56941">
        <w:rPr>
          <w:rFonts w:ascii="Arial" w:hAnsi="Arial" w:cs="Arial"/>
          <w:b/>
          <w:i/>
          <w:color w:val="31849B"/>
        </w:rPr>
        <w:t>Research Objectives</w:t>
      </w:r>
    </w:p>
    <w:p w14:paraId="6E246294" w14:textId="53998436" w:rsidR="00CB6F83" w:rsidRPr="00D54EF8" w:rsidRDefault="00B5179E" w:rsidP="00D54EF8">
      <w:pPr>
        <w:pStyle w:val="ListParagraph"/>
        <w:spacing w:after="120"/>
        <w:ind w:left="284" w:right="260"/>
        <w:contextualSpacing w:val="0"/>
        <w:jc w:val="both"/>
        <w:rPr>
          <w:rFonts w:ascii="Arial" w:hAnsi="Arial" w:cs="Arial"/>
          <w:bCs/>
        </w:rPr>
      </w:pPr>
      <w:r w:rsidRPr="00D54EF8">
        <w:rPr>
          <w:rFonts w:ascii="Arial" w:hAnsi="Arial" w:cs="Arial"/>
          <w:bCs/>
        </w:rPr>
        <w:t xml:space="preserve">Evaluate evidence and provide an assessment of the viability of the two depo-centre hypothesis and how that will affect injectivity and capacity of the EPQ10 site. </w:t>
      </w:r>
      <w:r w:rsidRPr="00D54EF8">
        <w:rPr>
          <w:rFonts w:ascii="Arial" w:hAnsi="Arial" w:cs="Arial"/>
        </w:rPr>
        <w:t xml:space="preserve"> </w:t>
      </w:r>
      <w:r w:rsidR="00D25121" w:rsidRPr="00D54EF8">
        <w:rPr>
          <w:rFonts w:ascii="Arial" w:hAnsi="Arial" w:cs="Arial"/>
        </w:rPr>
        <w:t>T</w:t>
      </w:r>
      <w:r w:rsidRPr="00D54EF8">
        <w:rPr>
          <w:rFonts w:ascii="Arial" w:hAnsi="Arial" w:cs="Arial"/>
        </w:rPr>
        <w:t>his could alter the estimate of optimal distance between the first and second data wells.</w:t>
      </w:r>
    </w:p>
    <w:p w14:paraId="00F801DC" w14:textId="48BD1222" w:rsidR="0067423B" w:rsidRPr="00D54EF8" w:rsidRDefault="000915ED" w:rsidP="00D54EF8">
      <w:pPr>
        <w:spacing w:before="120" w:after="80"/>
        <w:ind w:left="284" w:right="260"/>
        <w:jc w:val="both"/>
        <w:rPr>
          <w:rFonts w:ascii="Arial" w:hAnsi="Arial" w:cs="Arial"/>
          <w:b/>
          <w:i/>
          <w:color w:val="31849B"/>
        </w:rPr>
      </w:pPr>
      <w:r w:rsidRPr="00D54EF8">
        <w:rPr>
          <w:rFonts w:ascii="Arial" w:hAnsi="Arial" w:cs="Arial"/>
          <w:b/>
          <w:i/>
          <w:color w:val="31849B"/>
        </w:rPr>
        <w:t>New Knowledge</w:t>
      </w:r>
    </w:p>
    <w:p w14:paraId="4CB719FC" w14:textId="4FD0F41B" w:rsidR="00B5179E" w:rsidRPr="00D54EF8" w:rsidRDefault="00B5179E" w:rsidP="00D54EF8">
      <w:pPr>
        <w:ind w:left="284" w:right="260"/>
        <w:jc w:val="both"/>
        <w:rPr>
          <w:rFonts w:ascii="Arial" w:hAnsi="Arial" w:cs="Arial"/>
        </w:rPr>
      </w:pPr>
      <w:r w:rsidRPr="00D54EF8">
        <w:rPr>
          <w:rFonts w:ascii="Arial" w:hAnsi="Arial" w:cs="Arial"/>
        </w:rPr>
        <w:t xml:space="preserve">The project would use core to update the facies models developed in UQSDAAP and adjust the interpreted depositional environment.  The core can be used to conduct conventional and special core analysis to determine porosity permeability and relative permeability.  </w:t>
      </w:r>
    </w:p>
    <w:p w14:paraId="1345EC23" w14:textId="77777777" w:rsidR="00B5179E" w:rsidRPr="00D54EF8" w:rsidRDefault="00B5179E" w:rsidP="00D54EF8">
      <w:pPr>
        <w:ind w:left="284" w:right="260"/>
        <w:jc w:val="both"/>
        <w:rPr>
          <w:rFonts w:ascii="Arial" w:hAnsi="Arial" w:cs="Arial"/>
        </w:rPr>
      </w:pPr>
      <w:r w:rsidRPr="00D54EF8">
        <w:rPr>
          <w:rFonts w:ascii="Arial" w:hAnsi="Arial" w:cs="Arial"/>
        </w:rPr>
        <w:t xml:space="preserve">The mineralogy can be determined from thin section analysis and QEMSCAN. Well test data (DST or pumping tests) can provide upscaling parameters.  </w:t>
      </w:r>
    </w:p>
    <w:p w14:paraId="7B31BF58" w14:textId="1E318F45" w:rsidR="00B5179E" w:rsidRPr="00D54EF8" w:rsidRDefault="00B5179E" w:rsidP="00D54EF8">
      <w:pPr>
        <w:ind w:left="284" w:right="260"/>
        <w:jc w:val="both"/>
        <w:rPr>
          <w:rFonts w:ascii="Arial" w:hAnsi="Arial" w:cs="Arial"/>
        </w:rPr>
      </w:pPr>
      <w:r w:rsidRPr="00D54EF8">
        <w:rPr>
          <w:rFonts w:ascii="Arial" w:hAnsi="Arial" w:cs="Arial"/>
        </w:rPr>
        <w:t xml:space="preserve">Petrophysical analysis can be used for calibrating log permeability with laboratory determining values and all this data can be incorporated into and update of the UQSDAAP regional analysis to test if the southern Surat data helps define a different depositional system or a similar one to that of the northern Surat Basin.  </w:t>
      </w:r>
    </w:p>
    <w:p w14:paraId="16255958" w14:textId="63A42DF9" w:rsidR="00B5179E" w:rsidRPr="00D54EF8" w:rsidRDefault="00B5179E" w:rsidP="00D54EF8">
      <w:pPr>
        <w:ind w:left="284" w:right="260"/>
        <w:rPr>
          <w:rFonts w:ascii="Arial" w:hAnsi="Arial" w:cs="Arial"/>
          <w:b/>
          <w:bCs/>
          <w:i/>
          <w:iCs/>
          <w:color w:val="31849B"/>
        </w:rPr>
      </w:pPr>
      <w:r w:rsidRPr="00D54EF8">
        <w:rPr>
          <w:rFonts w:ascii="Arial" w:hAnsi="Arial" w:cs="Arial"/>
          <w:b/>
          <w:bCs/>
          <w:i/>
          <w:iCs/>
          <w:color w:val="31849B"/>
        </w:rPr>
        <w:t>Outcomes</w:t>
      </w:r>
    </w:p>
    <w:p w14:paraId="3E8695CC" w14:textId="16ADC49D" w:rsidR="00B5179E" w:rsidRPr="00D54EF8" w:rsidRDefault="00B5179E" w:rsidP="00D54EF8">
      <w:pPr>
        <w:ind w:left="284" w:right="260"/>
        <w:jc w:val="both"/>
        <w:rPr>
          <w:rFonts w:ascii="Arial" w:hAnsi="Arial" w:cs="Arial"/>
        </w:rPr>
      </w:pPr>
      <w:r w:rsidRPr="00D54EF8">
        <w:rPr>
          <w:rFonts w:ascii="Arial" w:hAnsi="Arial" w:cs="Arial"/>
        </w:rPr>
        <w:t>The results have implications to defining the best approach of parameterization and upscaling rock properties of the EPQ10 static and Dynamic Models. Note that the placement of Well 2 is critical for achieving the monitoring of a CO</w:t>
      </w:r>
      <w:r w:rsidRPr="00D54EF8">
        <w:rPr>
          <w:rFonts w:ascii="Arial" w:hAnsi="Arial" w:cs="Arial"/>
          <w:vertAlign w:val="subscript"/>
        </w:rPr>
        <w:t>2</w:t>
      </w:r>
      <w:r w:rsidRPr="00D54EF8">
        <w:rPr>
          <w:rFonts w:ascii="Arial" w:hAnsi="Arial" w:cs="Arial"/>
        </w:rPr>
        <w:t xml:space="preserve"> breakthrough for the pilot testing phase within a reasonable observation timeframe.  The accuracy of timing prediction is most profoundly related to the accuracy of the near well bore prediction of rock properties and parameterization of the static model</w:t>
      </w:r>
      <w:r w:rsidR="0029281E">
        <w:rPr>
          <w:rFonts w:ascii="Arial" w:hAnsi="Arial" w:cs="Arial"/>
        </w:rPr>
        <w:t>.</w:t>
      </w:r>
    </w:p>
    <w:p w14:paraId="50D8B3C5" w14:textId="77777777" w:rsidR="0096135C" w:rsidRPr="000915ED" w:rsidRDefault="0096135C" w:rsidP="00D54EF8">
      <w:pPr>
        <w:spacing w:before="120"/>
        <w:ind w:left="284"/>
        <w:jc w:val="both"/>
        <w:rPr>
          <w:rFonts w:ascii="Arial" w:hAnsi="Arial" w:cs="Arial"/>
          <w:szCs w:val="22"/>
          <w:lang w:eastAsia="en-AU" w:bidi="ar-SA"/>
        </w:rPr>
      </w:pPr>
    </w:p>
    <w:sectPr w:rsidR="0096135C" w:rsidRPr="000915ED" w:rsidSect="0096135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2618F" w14:textId="77777777" w:rsidR="00F8740B" w:rsidRDefault="00F8740B" w:rsidP="007B2C42">
      <w:pPr>
        <w:spacing w:before="0" w:after="0" w:line="240" w:lineRule="auto"/>
      </w:pPr>
      <w:r>
        <w:separator/>
      </w:r>
    </w:p>
  </w:endnote>
  <w:endnote w:type="continuationSeparator" w:id="0">
    <w:p w14:paraId="2BD3F640" w14:textId="77777777" w:rsidR="00F8740B" w:rsidRDefault="00F8740B" w:rsidP="007B2C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C0FC" w14:textId="77777777" w:rsidR="00F8740B" w:rsidRDefault="00F8740B" w:rsidP="007B2C42">
      <w:pPr>
        <w:spacing w:before="0" w:after="0" w:line="240" w:lineRule="auto"/>
      </w:pPr>
      <w:r>
        <w:separator/>
      </w:r>
    </w:p>
  </w:footnote>
  <w:footnote w:type="continuationSeparator" w:id="0">
    <w:p w14:paraId="31D4F10B" w14:textId="77777777" w:rsidR="00F8740B" w:rsidRDefault="00F8740B" w:rsidP="007B2C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19C3" w14:textId="77777777" w:rsidR="007B2C42" w:rsidRPr="007B2C42" w:rsidRDefault="007B2C42" w:rsidP="007B2C42">
    <w:pPr>
      <w:pStyle w:val="Header"/>
      <w:jc w:val="center"/>
      <w:rPr>
        <w:rFonts w:ascii="Arial" w:hAnsi="Arial" w:cs="Arial"/>
        <w:b/>
        <w:bCs/>
        <w:sz w:val="24"/>
        <w:szCs w:val="24"/>
        <w:lang w:val="en-US"/>
      </w:rPr>
    </w:pPr>
    <w:r w:rsidRPr="007B2C42">
      <w:rPr>
        <w:rFonts w:ascii="Arial" w:hAnsi="Arial" w:cs="Arial"/>
        <w:b/>
        <w:bCs/>
        <w:sz w:val="24"/>
        <w:szCs w:val="24"/>
        <w:lang w:val="en-US"/>
      </w:rPr>
      <w:t>PROJECT OUTLINE</w:t>
    </w:r>
  </w:p>
  <w:p w14:paraId="396D5864" w14:textId="77777777" w:rsidR="007B2C42" w:rsidRDefault="007B2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32962"/>
    <w:multiLevelType w:val="hybridMultilevel"/>
    <w:tmpl w:val="734A398A"/>
    <w:lvl w:ilvl="0" w:tplc="F0769E5E">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D5BD4"/>
    <w:multiLevelType w:val="hybridMultilevel"/>
    <w:tmpl w:val="174053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58B60D1"/>
    <w:multiLevelType w:val="hybridMultilevel"/>
    <w:tmpl w:val="F21267DE"/>
    <w:lvl w:ilvl="0" w:tplc="10724E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6C4F07"/>
    <w:multiLevelType w:val="hybridMultilevel"/>
    <w:tmpl w:val="52D2C934"/>
    <w:lvl w:ilvl="0" w:tplc="63504C26">
      <w:start w:val="1"/>
      <w:numFmt w:val="bullet"/>
      <w:pStyle w:val="CTSCoBulletLevel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EA330C"/>
    <w:multiLevelType w:val="hybridMultilevel"/>
    <w:tmpl w:val="468CB6B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pStyle w:val="Heading3"/>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MjYxNjEzNjM3M7BU0lEKTi0uzszPAykwrgUAkO0a6SwAAAA="/>
  </w:docVars>
  <w:rsids>
    <w:rsidRoot w:val="0096135C"/>
    <w:rsid w:val="00050F6E"/>
    <w:rsid w:val="000915ED"/>
    <w:rsid w:val="000A2C14"/>
    <w:rsid w:val="000C3F8D"/>
    <w:rsid w:val="000C57EE"/>
    <w:rsid w:val="00177A7A"/>
    <w:rsid w:val="001819B9"/>
    <w:rsid w:val="001976DD"/>
    <w:rsid w:val="001E713B"/>
    <w:rsid w:val="0022511B"/>
    <w:rsid w:val="00236E10"/>
    <w:rsid w:val="002411E4"/>
    <w:rsid w:val="0027463C"/>
    <w:rsid w:val="00284550"/>
    <w:rsid w:val="0029281E"/>
    <w:rsid w:val="002B721C"/>
    <w:rsid w:val="002E5AD4"/>
    <w:rsid w:val="0031753C"/>
    <w:rsid w:val="00373864"/>
    <w:rsid w:val="00405AB7"/>
    <w:rsid w:val="0043037E"/>
    <w:rsid w:val="00436E76"/>
    <w:rsid w:val="00493A4A"/>
    <w:rsid w:val="004A2FF1"/>
    <w:rsid w:val="00581D1A"/>
    <w:rsid w:val="00586ED4"/>
    <w:rsid w:val="00593D17"/>
    <w:rsid w:val="005A42B8"/>
    <w:rsid w:val="00601B9B"/>
    <w:rsid w:val="0065159D"/>
    <w:rsid w:val="0067423B"/>
    <w:rsid w:val="006D11F3"/>
    <w:rsid w:val="006D1E48"/>
    <w:rsid w:val="006D216C"/>
    <w:rsid w:val="00710A18"/>
    <w:rsid w:val="00712F5F"/>
    <w:rsid w:val="00783318"/>
    <w:rsid w:val="007B2C42"/>
    <w:rsid w:val="007B4090"/>
    <w:rsid w:val="007D28AC"/>
    <w:rsid w:val="007E7F1E"/>
    <w:rsid w:val="00813D29"/>
    <w:rsid w:val="00830A62"/>
    <w:rsid w:val="00871D8F"/>
    <w:rsid w:val="008832F6"/>
    <w:rsid w:val="008D787A"/>
    <w:rsid w:val="008F7822"/>
    <w:rsid w:val="009234E9"/>
    <w:rsid w:val="00923F14"/>
    <w:rsid w:val="0096135C"/>
    <w:rsid w:val="009E10A7"/>
    <w:rsid w:val="009F503E"/>
    <w:rsid w:val="00A65124"/>
    <w:rsid w:val="00A6572F"/>
    <w:rsid w:val="00AB3A69"/>
    <w:rsid w:val="00AB716F"/>
    <w:rsid w:val="00AC50A9"/>
    <w:rsid w:val="00B5179E"/>
    <w:rsid w:val="00B621B8"/>
    <w:rsid w:val="00B70EDC"/>
    <w:rsid w:val="00B75A61"/>
    <w:rsid w:val="00B9468F"/>
    <w:rsid w:val="00BB2ED7"/>
    <w:rsid w:val="00BC4F62"/>
    <w:rsid w:val="00BE5136"/>
    <w:rsid w:val="00C01E98"/>
    <w:rsid w:val="00C060C7"/>
    <w:rsid w:val="00C25092"/>
    <w:rsid w:val="00C32707"/>
    <w:rsid w:val="00C36316"/>
    <w:rsid w:val="00C41B71"/>
    <w:rsid w:val="00CA273B"/>
    <w:rsid w:val="00CA631D"/>
    <w:rsid w:val="00CB6F83"/>
    <w:rsid w:val="00D25121"/>
    <w:rsid w:val="00D27A5E"/>
    <w:rsid w:val="00D54EF8"/>
    <w:rsid w:val="00D56941"/>
    <w:rsid w:val="00DC103E"/>
    <w:rsid w:val="00DD2402"/>
    <w:rsid w:val="00E30916"/>
    <w:rsid w:val="00E51BC5"/>
    <w:rsid w:val="00E95684"/>
    <w:rsid w:val="00F8740B"/>
    <w:rsid w:val="00FF7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chartTrackingRefBased/>
  <w15:docId w15:val="{D01D2ACA-CC65-4A58-BC48-4A4C406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8F7822"/>
    <w:pPr>
      <w:keepNext/>
      <w:keepLines/>
      <w:numPr>
        <w:ilvl w:val="2"/>
        <w:numId w:val="3"/>
      </w:numPr>
      <w:spacing w:before="240" w:after="120" w:line="240" w:lineRule="auto"/>
      <w:outlineLvl w:val="2"/>
    </w:pPr>
    <w:rPr>
      <w:rFonts w:eastAsiaTheme="majorEastAsia" w:cstheme="majorBidi"/>
      <w:b/>
      <w:sz w:val="24"/>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AC50A9"/>
    <w:pPr>
      <w:spacing w:line="240" w:lineRule="auto"/>
    </w:pPr>
    <w:rPr>
      <w:rFonts w:eastAsiaTheme="minorHAnsi" w:cstheme="majorHAnsi"/>
      <w:noProof/>
      <w:szCs w:val="22"/>
    </w:rPr>
  </w:style>
  <w:style w:type="character" w:customStyle="1" w:styleId="CTSCoBodytextChar">
    <w:name w:val="CTSCo Body text Char"/>
    <w:basedOn w:val="DefaultParagraphFont"/>
    <w:link w:val="CTSCoBodytext"/>
    <w:rsid w:val="00AC50A9"/>
    <w:rPr>
      <w:rFonts w:ascii="Calibri" w:hAnsi="Calibri" w:cstheme="majorHAnsi"/>
      <w:noProof/>
      <w:sz w:val="20"/>
      <w:lang w:bidi="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8F7822"/>
    <w:rPr>
      <w:rFonts w:ascii="Calibri" w:eastAsiaTheme="majorEastAsia" w:hAnsi="Calibri" w:cstheme="majorBidi"/>
      <w:b/>
      <w:sz w:val="24"/>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601B9B"/>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bidi="en-US"/>
    </w:rPr>
  </w:style>
  <w:style w:type="paragraph" w:customStyle="1" w:styleId="Default">
    <w:name w:val="Default"/>
    <w:rsid w:val="00B5179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54EF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C4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2C42"/>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7B2C4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2C42"/>
    <w:rPr>
      <w:rFonts w:ascii="Calibri" w:eastAsia="Times New Roman" w:hAnsi="Calibr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Tyiasning</dc:creator>
  <cp:keywords/>
  <dc:description/>
  <cp:lastModifiedBy>Kevin Dodds</cp:lastModifiedBy>
  <cp:revision>2</cp:revision>
  <dcterms:created xsi:type="dcterms:W3CDTF">2020-02-14T04:03:00Z</dcterms:created>
  <dcterms:modified xsi:type="dcterms:W3CDTF">2020-02-14T04:03:00Z</dcterms:modified>
</cp:coreProperties>
</file>